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24A479" w14:textId="6D43FD60" w:rsidR="000869D2" w:rsidRDefault="00D10B0B" w:rsidP="000F2475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Start w:id="1" w:name="m4"/>
      <w:bookmarkEnd w:id="0"/>
      <w:bookmarkEnd w:id="1"/>
    </w:p>
    <w:p w14:paraId="5DE12593" w14:textId="77777777" w:rsidR="00642E60" w:rsidRDefault="00642E60" w:rsidP="00642E60">
      <w:pPr>
        <w:spacing w:before="0" w:beforeAutospacing="0" w:after="0" w:afterAutospacing="0"/>
        <w:jc w:val="center"/>
        <w:rPr>
          <w:rFonts w:ascii="Arial" w:hAnsi="Arial" w:cs="Arial"/>
          <w:b/>
          <w:bCs/>
          <w:iCs/>
          <w:sz w:val="20"/>
          <w:szCs w:val="20"/>
        </w:rPr>
      </w:pPr>
      <w:bookmarkStart w:id="2" w:name="tájnemálltám"/>
    </w:p>
    <w:p w14:paraId="15762630" w14:textId="6E842089" w:rsidR="00642E60" w:rsidRDefault="00642E60" w:rsidP="00642E60">
      <w:pPr>
        <w:spacing w:before="0" w:beforeAutospacing="0" w:after="0" w:afterAutospacing="0"/>
        <w:jc w:val="center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>TÁJÉKOZTATÓ</w:t>
      </w:r>
    </w:p>
    <w:p w14:paraId="70A3C4E5" w14:textId="77777777" w:rsidR="00642E60" w:rsidRPr="00666443" w:rsidRDefault="00642E60" w:rsidP="00642E60">
      <w:pPr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 w:rsidRPr="00666443">
        <w:rPr>
          <w:rFonts w:ascii="Arial" w:hAnsi="Arial" w:cs="Arial"/>
          <w:b/>
          <w:sz w:val="20"/>
          <w:szCs w:val="20"/>
        </w:rPr>
        <w:t xml:space="preserve">a </w:t>
      </w:r>
    </w:p>
    <w:p w14:paraId="55C56DA4" w14:textId="77777777" w:rsidR="00642E60" w:rsidRPr="00666443" w:rsidRDefault="00642E60" w:rsidP="00642E60">
      <w:pPr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 w:rsidRPr="00666443">
        <w:rPr>
          <w:rFonts w:ascii="Arial" w:hAnsi="Arial" w:cs="Arial"/>
          <w:b/>
          <w:sz w:val="20"/>
          <w:szCs w:val="20"/>
        </w:rPr>
        <w:t>TOP_Plusz-3.1.1-21 Megyei foglalkoztatási–gazdaságfejlesztési együttműködések</w:t>
      </w:r>
    </w:p>
    <w:p w14:paraId="120C0E83" w14:textId="77777777" w:rsidR="00642E60" w:rsidRPr="00666443" w:rsidRDefault="00642E60" w:rsidP="00642E60">
      <w:pPr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 w:rsidRPr="00666443">
        <w:rPr>
          <w:rFonts w:ascii="Arial" w:hAnsi="Arial" w:cs="Arial"/>
          <w:b/>
          <w:sz w:val="20"/>
          <w:szCs w:val="20"/>
        </w:rPr>
        <w:t xml:space="preserve">elnevezésű munkaerőpiaci programból </w:t>
      </w:r>
    </w:p>
    <w:p w14:paraId="73957A93" w14:textId="77777777" w:rsidR="00642E60" w:rsidRPr="00666443" w:rsidRDefault="00642E60" w:rsidP="00642E60">
      <w:pPr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 w:rsidRPr="00666443">
        <w:rPr>
          <w:rFonts w:ascii="Arial" w:hAnsi="Arial" w:cs="Arial"/>
          <w:b/>
          <w:sz w:val="20"/>
          <w:szCs w:val="20"/>
        </w:rPr>
        <w:t>NEM ÁLLAMI TÁMOGATÁS JOGCÍMEN NYÚJTHATÓ BÉRTÁMOGATÁS</w:t>
      </w:r>
    </w:p>
    <w:p w14:paraId="488C4214" w14:textId="77777777" w:rsidR="00642E60" w:rsidRDefault="00642E60" w:rsidP="00642E60">
      <w:pPr>
        <w:widowControl w:val="0"/>
        <w:spacing w:before="0" w:beforeAutospacing="0" w:after="0" w:afterAutospacing="0"/>
        <w:jc w:val="center"/>
        <w:rPr>
          <w:rFonts w:ascii="Arial" w:hAnsi="Arial" w:cs="Arial"/>
          <w:caps/>
          <w:sz w:val="20"/>
          <w:szCs w:val="20"/>
        </w:rPr>
      </w:pPr>
      <w:r>
        <w:rPr>
          <w:rFonts w:ascii="Arial" w:hAnsi="Arial" w:cs="Arial"/>
          <w:b/>
          <w:bCs/>
          <w:iCs/>
          <w:caps/>
          <w:sz w:val="20"/>
          <w:szCs w:val="20"/>
        </w:rPr>
        <w:t>szabályairól</w:t>
      </w:r>
      <w:bookmarkEnd w:id="2"/>
    </w:p>
    <w:p w14:paraId="3CA27AEA" w14:textId="77777777" w:rsidR="00642E60" w:rsidRDefault="00642E60" w:rsidP="00642E60">
      <w:pPr>
        <w:autoSpaceDE w:val="0"/>
        <w:autoSpaceDN w:val="0"/>
        <w:adjustRightInd w:val="0"/>
        <w:spacing w:before="0" w:beforeAutospacing="0" w:after="0" w:afterAutospacing="0"/>
        <w:rPr>
          <w:rFonts w:ascii="Arial" w:eastAsia="Cambria Math" w:hAnsi="Arial" w:cs="Arial"/>
          <w:b/>
          <w:sz w:val="20"/>
          <w:szCs w:val="20"/>
          <w:lang w:eastAsia="hu-HU"/>
        </w:rPr>
      </w:pPr>
    </w:p>
    <w:p w14:paraId="09B36568" w14:textId="449FAC51" w:rsidR="00642E60" w:rsidRDefault="00642E60" w:rsidP="00642E60">
      <w:pPr>
        <w:autoSpaceDE w:val="0"/>
        <w:autoSpaceDN w:val="0"/>
        <w:adjustRightInd w:val="0"/>
        <w:spacing w:before="0" w:beforeAutospacing="0" w:after="0" w:afterAutospacing="0"/>
        <w:rPr>
          <w:rFonts w:ascii="Arial" w:eastAsia="Cambria Math" w:hAnsi="Arial" w:cs="Arial"/>
          <w:b/>
          <w:sz w:val="20"/>
          <w:szCs w:val="20"/>
          <w:lang w:eastAsia="hu-HU"/>
        </w:rPr>
      </w:pPr>
      <w:r w:rsidRPr="00F03EB2">
        <w:rPr>
          <w:rFonts w:ascii="Arial" w:eastAsia="Cambria Math" w:hAnsi="Arial" w:cs="Arial"/>
          <w:b/>
          <w:sz w:val="20"/>
          <w:szCs w:val="20"/>
          <w:lang w:eastAsia="hu-HU"/>
        </w:rPr>
        <w:t>Az általános szabályok</w:t>
      </w:r>
    </w:p>
    <w:p w14:paraId="14A58440" w14:textId="77777777" w:rsidR="00642E60" w:rsidRPr="00D7540A" w:rsidRDefault="00642E60" w:rsidP="00642E60">
      <w:pPr>
        <w:spacing w:after="0"/>
        <w:rPr>
          <w:rFonts w:ascii="Arial" w:eastAsia="Calibri" w:hAnsi="Arial" w:cs="Arial"/>
          <w:bCs/>
          <w:color w:val="000000"/>
          <w:sz w:val="20"/>
          <w:szCs w:val="20"/>
        </w:rPr>
      </w:pPr>
      <w:r w:rsidRPr="00D7540A">
        <w:rPr>
          <w:rFonts w:ascii="Arial" w:eastAsia="Calibri" w:hAnsi="Arial" w:cs="Arial"/>
          <w:bCs/>
          <w:color w:val="000000"/>
          <w:sz w:val="20"/>
          <w:szCs w:val="20"/>
        </w:rPr>
        <w:t>Az Európai Unió működéséről szóló szerződésben (a továbbiakban: EUMSZ) 107. cikk (1) bekezdése értelmében állami támogatásnak azok az intézkedések minősülnek, melyek esetében:</w:t>
      </w:r>
    </w:p>
    <w:p w14:paraId="2CCF4ACA" w14:textId="77777777" w:rsidR="00642E60" w:rsidRPr="00D7540A" w:rsidRDefault="00642E60" w:rsidP="00642E60">
      <w:pPr>
        <w:numPr>
          <w:ilvl w:val="0"/>
          <w:numId w:val="32"/>
        </w:numPr>
        <w:suppressAutoHyphens/>
        <w:spacing w:before="0" w:beforeAutospacing="0" w:after="0" w:afterAutospacing="0" w:line="276" w:lineRule="auto"/>
        <w:ind w:left="567"/>
        <w:rPr>
          <w:rFonts w:ascii="Arial" w:eastAsia="Calibri" w:hAnsi="Arial" w:cs="Arial"/>
          <w:bCs/>
          <w:color w:val="000000"/>
          <w:sz w:val="20"/>
          <w:szCs w:val="20"/>
        </w:rPr>
      </w:pPr>
      <w:r w:rsidRPr="00D7540A">
        <w:rPr>
          <w:rFonts w:ascii="Arial" w:eastAsia="Calibri" w:hAnsi="Arial" w:cs="Arial"/>
          <w:bCs/>
          <w:color w:val="000000"/>
          <w:sz w:val="20"/>
          <w:szCs w:val="20"/>
        </w:rPr>
        <w:t>a kedvezményezett vállalkozásnak minősül (támogatott tevékenység gazdasági tevékenység végzése),</w:t>
      </w:r>
    </w:p>
    <w:p w14:paraId="2775026C" w14:textId="77777777" w:rsidR="00642E60" w:rsidRPr="00D7540A" w:rsidRDefault="00642E60" w:rsidP="00642E60">
      <w:pPr>
        <w:numPr>
          <w:ilvl w:val="0"/>
          <w:numId w:val="32"/>
        </w:numPr>
        <w:suppressAutoHyphens/>
        <w:spacing w:before="0" w:beforeAutospacing="0" w:after="0" w:afterAutospacing="0" w:line="276" w:lineRule="auto"/>
        <w:ind w:left="567"/>
        <w:rPr>
          <w:rFonts w:ascii="Arial" w:eastAsia="Calibri" w:hAnsi="Arial" w:cs="Arial"/>
          <w:bCs/>
          <w:color w:val="000000"/>
          <w:sz w:val="20"/>
          <w:szCs w:val="20"/>
        </w:rPr>
      </w:pPr>
      <w:r w:rsidRPr="00D7540A">
        <w:rPr>
          <w:rFonts w:ascii="Arial" w:eastAsia="Calibri" w:hAnsi="Arial" w:cs="Arial"/>
          <w:bCs/>
          <w:color w:val="000000"/>
          <w:sz w:val="20"/>
          <w:szCs w:val="20"/>
        </w:rPr>
        <w:t>az intézkedés állami forrást nyújt és betudható az államnak,</w:t>
      </w:r>
    </w:p>
    <w:p w14:paraId="4EEAB74F" w14:textId="77777777" w:rsidR="00642E60" w:rsidRPr="00D7540A" w:rsidRDefault="00642E60" w:rsidP="00642E60">
      <w:pPr>
        <w:numPr>
          <w:ilvl w:val="0"/>
          <w:numId w:val="32"/>
        </w:numPr>
        <w:suppressAutoHyphens/>
        <w:spacing w:before="0" w:beforeAutospacing="0" w:after="0" w:afterAutospacing="0" w:line="276" w:lineRule="auto"/>
        <w:ind w:left="567"/>
        <w:rPr>
          <w:rFonts w:ascii="Arial" w:eastAsia="Calibri" w:hAnsi="Arial" w:cs="Arial"/>
          <w:bCs/>
          <w:color w:val="000000"/>
          <w:sz w:val="20"/>
          <w:szCs w:val="20"/>
        </w:rPr>
      </w:pPr>
      <w:r w:rsidRPr="00D7540A">
        <w:rPr>
          <w:rFonts w:ascii="Arial" w:eastAsia="Calibri" w:hAnsi="Arial" w:cs="Arial"/>
          <w:bCs/>
          <w:color w:val="000000"/>
          <w:sz w:val="20"/>
          <w:szCs w:val="20"/>
        </w:rPr>
        <w:t>előnyt jelent az érintett vállalkozás(ok) részére,</w:t>
      </w:r>
    </w:p>
    <w:p w14:paraId="1D8735E1" w14:textId="77777777" w:rsidR="00642E60" w:rsidRPr="00D7540A" w:rsidRDefault="00642E60" w:rsidP="00642E60">
      <w:pPr>
        <w:numPr>
          <w:ilvl w:val="0"/>
          <w:numId w:val="32"/>
        </w:numPr>
        <w:suppressAutoHyphens/>
        <w:spacing w:before="0" w:beforeAutospacing="0" w:after="0" w:afterAutospacing="0" w:line="276" w:lineRule="auto"/>
        <w:ind w:left="567"/>
        <w:rPr>
          <w:rFonts w:ascii="Arial" w:eastAsia="Calibri" w:hAnsi="Arial" w:cs="Arial"/>
          <w:bCs/>
          <w:color w:val="000000"/>
          <w:sz w:val="20"/>
          <w:szCs w:val="20"/>
        </w:rPr>
      </w:pPr>
      <w:r w:rsidRPr="00D7540A">
        <w:rPr>
          <w:rFonts w:ascii="Arial" w:eastAsia="Calibri" w:hAnsi="Arial" w:cs="Arial"/>
          <w:bCs/>
          <w:color w:val="000000"/>
          <w:sz w:val="20"/>
          <w:szCs w:val="20"/>
        </w:rPr>
        <w:t>szelektív, azaz csak bizonyos vállalkozást, régiót vagy ágazatot részesít előnyben, valamint</w:t>
      </w:r>
    </w:p>
    <w:p w14:paraId="7005B322" w14:textId="529ADF06" w:rsidR="00642E60" w:rsidRPr="00642E60" w:rsidRDefault="00642E60" w:rsidP="00642E60">
      <w:pPr>
        <w:numPr>
          <w:ilvl w:val="0"/>
          <w:numId w:val="32"/>
        </w:numPr>
        <w:suppressAutoHyphens/>
        <w:spacing w:before="0" w:beforeAutospacing="0" w:after="0" w:afterAutospacing="0" w:line="276" w:lineRule="auto"/>
        <w:ind w:left="567"/>
        <w:rPr>
          <w:rFonts w:ascii="Arial" w:eastAsia="Calibri" w:hAnsi="Arial" w:cs="Arial"/>
          <w:bCs/>
          <w:color w:val="000000"/>
          <w:sz w:val="20"/>
          <w:szCs w:val="20"/>
        </w:rPr>
      </w:pPr>
      <w:r w:rsidRPr="00D7540A">
        <w:rPr>
          <w:rFonts w:ascii="Arial" w:eastAsia="Calibri" w:hAnsi="Arial" w:cs="Arial"/>
          <w:bCs/>
          <w:color w:val="000000"/>
          <w:sz w:val="20"/>
          <w:szCs w:val="20"/>
        </w:rPr>
        <w:t>torzít(hat)ja a versenyt, vagy annak torzításával fenyeget, és befolyásol(hat)ja a tagállamok közötti kereskedelmet.</w:t>
      </w:r>
    </w:p>
    <w:p w14:paraId="5727796F" w14:textId="1A6AC4AB" w:rsidR="00642E60" w:rsidRPr="00642E60" w:rsidRDefault="00642E60" w:rsidP="00642E60">
      <w:pPr>
        <w:spacing w:after="0"/>
        <w:rPr>
          <w:rFonts w:ascii="Arial" w:eastAsia="Calibri" w:hAnsi="Arial" w:cs="Arial"/>
          <w:bCs/>
          <w:color w:val="000000"/>
          <w:sz w:val="20"/>
          <w:szCs w:val="20"/>
        </w:rPr>
      </w:pPr>
      <w:r w:rsidRPr="00D7540A">
        <w:rPr>
          <w:rFonts w:ascii="Arial" w:eastAsia="Calibri" w:hAnsi="Arial" w:cs="Arial"/>
          <w:bCs/>
          <w:color w:val="000000"/>
          <w:sz w:val="20"/>
          <w:szCs w:val="20"/>
        </w:rPr>
        <w:t>A fenti feltételeknek egyszerre kell teljesülniük ahhoz, hogy az uniós állami támogatási szabályokat alkalmazni kelljen.</w:t>
      </w:r>
    </w:p>
    <w:p w14:paraId="2DD4D1D2" w14:textId="0D07A5A6" w:rsidR="00642E60" w:rsidRPr="00642E60" w:rsidRDefault="00642E60" w:rsidP="00642E60">
      <w:pPr>
        <w:spacing w:after="0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Állami támogatási értelemben</w:t>
      </w:r>
      <w:r w:rsidRPr="004C2567">
        <w:rPr>
          <w:rFonts w:ascii="Arial" w:eastAsia="Calibri" w:hAnsi="Arial" w:cs="Arial"/>
          <w:color w:val="000000"/>
          <w:sz w:val="20"/>
          <w:szCs w:val="20"/>
        </w:rPr>
        <w:t xml:space="preserve"> jogállásától és finanszírozási módjától függetlenül vállalkozásnak minősül minden gazdasági tevékenységet folytató jogalany (akár természetes, akár jogi személy).</w:t>
      </w:r>
    </w:p>
    <w:p w14:paraId="1519250E" w14:textId="40523488" w:rsidR="00642E60" w:rsidRPr="00D7540A" w:rsidRDefault="00642E60" w:rsidP="00642E60">
      <w:pPr>
        <w:spacing w:after="0"/>
        <w:rPr>
          <w:rFonts w:ascii="Arial" w:hAnsi="Arial" w:cs="Arial"/>
          <w:bCs/>
          <w:color w:val="000000"/>
          <w:sz w:val="20"/>
          <w:szCs w:val="20"/>
        </w:rPr>
      </w:pPr>
      <w:r w:rsidRPr="00D7540A">
        <w:rPr>
          <w:rFonts w:ascii="Arial" w:hAnsi="Arial" w:cs="Arial"/>
          <w:bCs/>
          <w:color w:val="000000"/>
          <w:sz w:val="20"/>
          <w:szCs w:val="20"/>
        </w:rPr>
        <w:t xml:space="preserve">A bértámogatás nyújtása az EUMSZ 107. cikkének (1) bekezdése szerinti állami támogatás fogalmáról szóló bizottsági közleményben [(2016/C 262/01), a továbbiakban: Közlemény] foglaltak szerint </w:t>
      </w:r>
      <w:r w:rsidRPr="00D7540A">
        <w:rPr>
          <w:rFonts w:ascii="Arial" w:hAnsi="Arial" w:cs="Arial"/>
          <w:b/>
          <w:bCs/>
          <w:color w:val="000000"/>
          <w:sz w:val="20"/>
          <w:szCs w:val="20"/>
        </w:rPr>
        <w:t>nem minősül az EUMSZ 107. cikk (1) bekezdése szerinti állami támogatásnak, amennyiben</w:t>
      </w:r>
      <w:r w:rsidRPr="00D7540A">
        <w:rPr>
          <w:rFonts w:ascii="Arial" w:hAnsi="Arial" w:cs="Arial"/>
          <w:bCs/>
          <w:color w:val="000000"/>
          <w:sz w:val="20"/>
          <w:szCs w:val="20"/>
        </w:rPr>
        <w:t xml:space="preserve"> azt állami fenntartású közoktatási intézmények (bölcsődék, óvodák, általános iskolák, középiskolák vagy felsőfokú oktatási intézmények) munkavállalóira</w:t>
      </w:r>
      <w:r w:rsidRPr="00D7540A">
        <w:rPr>
          <w:rFonts w:ascii="Arial" w:hAnsi="Arial" w:cs="Arial"/>
          <w:bCs/>
          <w:color w:val="000000"/>
          <w:sz w:val="20"/>
          <w:szCs w:val="20"/>
          <w:vertAlign w:val="superscript"/>
        </w:rPr>
        <w:footnoteReference w:id="1"/>
      </w:r>
      <w:r w:rsidRPr="00D7540A">
        <w:rPr>
          <w:rFonts w:ascii="Arial" w:hAnsi="Arial" w:cs="Arial"/>
          <w:bCs/>
          <w:color w:val="000000"/>
          <w:sz w:val="20"/>
          <w:szCs w:val="20"/>
        </w:rPr>
        <w:t>, államigazgatási szervek, önkormányzatok és állami fenntartású szociális intézmények (például családsegítő intézmények) munkavállalóira</w:t>
      </w:r>
      <w:r w:rsidRPr="00D7540A">
        <w:rPr>
          <w:rFonts w:ascii="Arial" w:hAnsi="Arial" w:cs="Arial"/>
          <w:bCs/>
          <w:color w:val="000000"/>
          <w:sz w:val="20"/>
          <w:szCs w:val="20"/>
          <w:vertAlign w:val="superscript"/>
        </w:rPr>
        <w:footnoteReference w:id="2"/>
      </w:r>
      <w:r w:rsidRPr="00D7540A">
        <w:rPr>
          <w:rFonts w:ascii="Arial" w:hAnsi="Arial" w:cs="Arial"/>
          <w:bCs/>
          <w:color w:val="000000"/>
          <w:sz w:val="20"/>
          <w:szCs w:val="20"/>
        </w:rPr>
        <w:t xml:space="preserve"> figyelemmel ítélik oda és a foglalkoztatottak alkalmazása nem kapcsolódik az önkormányzatok, illetve egyéb intézmények gazdasági tevékenységéhez.</w:t>
      </w:r>
    </w:p>
    <w:p w14:paraId="5F2F9F98" w14:textId="796A7664" w:rsidR="00642E60" w:rsidRPr="00642E60" w:rsidRDefault="00642E60" w:rsidP="00642E60">
      <w:pPr>
        <w:spacing w:after="0"/>
        <w:rPr>
          <w:rFonts w:ascii="Arial" w:hAnsi="Arial" w:cs="Arial"/>
          <w:b/>
          <w:bCs/>
          <w:color w:val="000000"/>
          <w:sz w:val="20"/>
          <w:szCs w:val="20"/>
        </w:rPr>
      </w:pPr>
      <w:r w:rsidRPr="00D7540A">
        <w:rPr>
          <w:rFonts w:ascii="Arial" w:hAnsi="Arial" w:cs="Arial"/>
          <w:bCs/>
          <w:color w:val="000000"/>
          <w:sz w:val="20"/>
          <w:szCs w:val="20"/>
        </w:rPr>
        <w:t xml:space="preserve">A fenti esetekben a támogatott tevékenységek (az állam által finanszírozott oktatási tevékenység, az állam közhatalmi tevékenysége, illetve a </w:t>
      </w:r>
      <w:r w:rsidRPr="00D7540A">
        <w:rPr>
          <w:rFonts w:ascii="Arial" w:hAnsi="Arial" w:cs="Arial"/>
          <w:color w:val="000000"/>
          <w:sz w:val="20"/>
          <w:szCs w:val="20"/>
        </w:rPr>
        <w:t xml:space="preserve">szolidaritás elvére épülő, gazdasági tevékenységet magában nem foglaló szociális </w:t>
      </w:r>
      <w:r w:rsidRPr="00D7540A">
        <w:rPr>
          <w:rFonts w:ascii="Arial" w:hAnsi="Arial" w:cs="Arial"/>
          <w:bCs/>
          <w:color w:val="000000"/>
          <w:sz w:val="20"/>
          <w:szCs w:val="20"/>
        </w:rPr>
        <w:t xml:space="preserve">tevékenység) </w:t>
      </w:r>
      <w:r w:rsidRPr="00D7540A">
        <w:rPr>
          <w:rFonts w:ascii="Arial" w:hAnsi="Arial" w:cs="Arial"/>
          <w:b/>
          <w:bCs/>
          <w:color w:val="000000"/>
          <w:sz w:val="20"/>
          <w:szCs w:val="20"/>
        </w:rPr>
        <w:t>nem minősülnek uniós versenyjogi értelemben vett gazdasági tevékenységnek</w:t>
      </w:r>
      <w:r w:rsidRPr="00D7540A">
        <w:rPr>
          <w:rFonts w:ascii="Arial" w:hAnsi="Arial" w:cs="Arial"/>
          <w:bCs/>
          <w:color w:val="000000"/>
          <w:sz w:val="20"/>
          <w:szCs w:val="20"/>
        </w:rPr>
        <w:t>, ezért a bértámogatással kapcsolatos támogatási intézkedés sem minősül az EUMSZ 107. cikk (1) bekezdése szerinti állami támogatásnak.</w:t>
      </w:r>
    </w:p>
    <w:p w14:paraId="47DB4301" w14:textId="044CD72A" w:rsidR="00642E60" w:rsidRPr="00D7540A" w:rsidRDefault="00642E60" w:rsidP="00642E60">
      <w:pPr>
        <w:spacing w:after="60" w:afterAutospacing="0"/>
        <w:rPr>
          <w:rFonts w:ascii="Arial" w:hAnsi="Arial" w:cs="Arial"/>
          <w:bCs/>
          <w:color w:val="000000"/>
          <w:sz w:val="20"/>
          <w:szCs w:val="20"/>
        </w:rPr>
      </w:pPr>
      <w:r w:rsidRPr="00D7540A">
        <w:rPr>
          <w:rFonts w:ascii="Arial" w:hAnsi="Arial" w:cs="Arial"/>
          <w:bCs/>
          <w:color w:val="000000"/>
          <w:sz w:val="20"/>
          <w:szCs w:val="20"/>
        </w:rPr>
        <w:lastRenderedPageBreak/>
        <w:t>Hasonló az állami támogatási szempontú megítélése a társadalombiztosítás által finanszírozott kórházakban, egészségügyi intézményben történő foglalkoztatásnak</w:t>
      </w:r>
      <w:r w:rsidRPr="00D7540A">
        <w:rPr>
          <w:rFonts w:ascii="Arial" w:hAnsi="Arial" w:cs="Arial"/>
          <w:bCs/>
          <w:color w:val="000000"/>
          <w:sz w:val="20"/>
          <w:szCs w:val="20"/>
          <w:vertAlign w:val="superscript"/>
        </w:rPr>
        <w:footnoteReference w:id="3"/>
      </w:r>
      <w:r w:rsidRPr="00D7540A">
        <w:rPr>
          <w:rFonts w:ascii="Arial" w:hAnsi="Arial" w:cs="Arial"/>
          <w:bCs/>
          <w:color w:val="000000"/>
          <w:sz w:val="20"/>
          <w:szCs w:val="20"/>
        </w:rPr>
        <w:t>, valamint a munkavállalók azon kultúrához, a kulturális örökség megőrzéséhez és a természetvédelemhez kapcsolódó tevékenységek körében történő alkalmazásának, amelyek esetén ezen tevékenységek a nagyközönség számára térítésmentesen hozzáférhetők vagy a tevékenységek révén realizált piaci bevételek nem érik el a hivatkozott tevékenységekkel kapcsolatos működési költségek felét</w:t>
      </w:r>
      <w:r w:rsidRPr="00D7540A">
        <w:rPr>
          <w:rFonts w:ascii="Arial" w:hAnsi="Arial" w:cs="Arial"/>
          <w:bCs/>
          <w:color w:val="000000"/>
          <w:sz w:val="20"/>
          <w:szCs w:val="20"/>
          <w:vertAlign w:val="superscript"/>
        </w:rPr>
        <w:footnoteReference w:id="4"/>
      </w:r>
      <w:r w:rsidRPr="00D7540A">
        <w:rPr>
          <w:rFonts w:ascii="Arial" w:hAnsi="Arial" w:cs="Arial"/>
          <w:bCs/>
          <w:color w:val="000000"/>
          <w:sz w:val="20"/>
          <w:szCs w:val="20"/>
        </w:rPr>
        <w:t>.</w:t>
      </w:r>
      <w:r w:rsidRPr="00D7540A">
        <w:t xml:space="preserve"> </w:t>
      </w:r>
      <w:r w:rsidRPr="00D7540A">
        <w:rPr>
          <w:rFonts w:ascii="Arial" w:hAnsi="Arial" w:cs="Arial"/>
          <w:sz w:val="20"/>
          <w:szCs w:val="20"/>
        </w:rPr>
        <w:t xml:space="preserve">Ezen tevékenységek – a Közleményben foglalt feltételek fennállása esetén – </w:t>
      </w:r>
      <w:r w:rsidRPr="00D7540A">
        <w:rPr>
          <w:rFonts w:ascii="Arial" w:hAnsi="Arial" w:cs="Arial"/>
          <w:b/>
          <w:sz w:val="20"/>
          <w:szCs w:val="20"/>
        </w:rPr>
        <w:t xml:space="preserve">nem </w:t>
      </w:r>
      <w:r w:rsidRPr="00D7540A">
        <w:rPr>
          <w:rFonts w:ascii="Arial" w:hAnsi="Arial" w:cs="Arial"/>
          <w:b/>
          <w:bCs/>
          <w:color w:val="000000"/>
          <w:sz w:val="20"/>
          <w:szCs w:val="20"/>
        </w:rPr>
        <w:t>minősülnek uniós versenyjogi értelemben vett gazdasági tevékenységnek</w:t>
      </w:r>
      <w:r w:rsidRPr="00D7540A">
        <w:rPr>
          <w:rFonts w:ascii="Arial" w:hAnsi="Arial" w:cs="Arial"/>
          <w:bCs/>
          <w:color w:val="000000"/>
          <w:sz w:val="20"/>
          <w:szCs w:val="20"/>
        </w:rPr>
        <w:t>, ezért az ezen tevékenységeket érintő bértámogatással kapcsolatos támogatási intézkedés sem minősül az EUMSZ 107. cikk (1) bekezdése szerinti állami támogatásnak.</w:t>
      </w:r>
    </w:p>
    <w:p w14:paraId="284C1675" w14:textId="12E70B0D" w:rsidR="00642E60" w:rsidRPr="00642E60" w:rsidRDefault="00642E60" w:rsidP="00642E60">
      <w:pPr>
        <w:spacing w:before="60" w:beforeAutospacing="0" w:after="60" w:afterAutospacing="0"/>
        <w:rPr>
          <w:rFonts w:ascii="Arial" w:hAnsi="Arial" w:cs="Arial"/>
          <w:bCs/>
          <w:color w:val="000000"/>
          <w:sz w:val="20"/>
          <w:szCs w:val="20"/>
        </w:rPr>
      </w:pPr>
      <w:r w:rsidRPr="00D7540A">
        <w:rPr>
          <w:rFonts w:ascii="Arial" w:hAnsi="Arial" w:cs="Arial"/>
          <w:bCs/>
          <w:color w:val="000000"/>
          <w:sz w:val="20"/>
          <w:szCs w:val="20"/>
        </w:rPr>
        <w:t xml:space="preserve">Az állami támogatási szabályok alkalmazásától csak abban az esetben lehet eltekinteni, amennyiben a Közlemény szerinti feltételek maradéktalanul teljesülnek a támogatott </w:t>
      </w:r>
      <w:r>
        <w:rPr>
          <w:rFonts w:ascii="Arial" w:hAnsi="Arial" w:cs="Arial"/>
          <w:bCs/>
          <w:color w:val="000000"/>
          <w:sz w:val="20"/>
          <w:szCs w:val="20"/>
        </w:rPr>
        <w:t>foglalkoztatással kapcsolatban.</w:t>
      </w:r>
    </w:p>
    <w:p w14:paraId="0A064CB7" w14:textId="77777777" w:rsidR="00642E60" w:rsidRDefault="00642E60" w:rsidP="00642E60">
      <w:pPr>
        <w:spacing w:before="60" w:beforeAutospacing="0" w:after="60" w:afterAutospacing="0"/>
        <w:rPr>
          <w:rFonts w:ascii="Arial" w:hAnsi="Arial" w:cs="Arial"/>
          <w:color w:val="000000"/>
          <w:sz w:val="20"/>
          <w:szCs w:val="20"/>
        </w:rPr>
      </w:pPr>
      <w:r w:rsidRPr="00BC33A4">
        <w:rPr>
          <w:rFonts w:ascii="Arial" w:eastAsia="Calibri" w:hAnsi="Arial" w:cs="Arial"/>
          <w:color w:val="000000"/>
          <w:sz w:val="20"/>
          <w:szCs w:val="20"/>
        </w:rPr>
        <w:t xml:space="preserve">Amennyiben a fenti feltételek nem teljesülnek, 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abban az esetben </w:t>
      </w:r>
      <w:r w:rsidRPr="00BC33A4">
        <w:rPr>
          <w:rFonts w:ascii="Arial" w:eastAsia="Calibri" w:hAnsi="Arial" w:cs="Arial"/>
          <w:color w:val="000000"/>
          <w:sz w:val="20"/>
          <w:szCs w:val="20"/>
        </w:rPr>
        <w:t>a bértámogatás az EUMSZ 107. cikkének (1) bekezdése szerinti állami támogatásnak minősül.</w:t>
      </w:r>
      <w:r>
        <w:rPr>
          <w:rFonts w:ascii="Arial" w:eastAsia="Calibri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Ez esetben a vállalkozások részére nyújtott támogatás:</w:t>
      </w:r>
    </w:p>
    <w:p w14:paraId="2EB9C386" w14:textId="77777777" w:rsidR="00642E60" w:rsidRDefault="00642E60" w:rsidP="00642E60">
      <w:pPr>
        <w:pStyle w:val="Listaszerbekezds"/>
        <w:numPr>
          <w:ilvl w:val="0"/>
          <w:numId w:val="31"/>
        </w:numPr>
        <w:suppressAutoHyphens/>
        <w:spacing w:before="0" w:beforeAutospacing="0" w:after="200" w:afterAutospacing="0"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1A6B19">
        <w:rPr>
          <w:rFonts w:ascii="Arial" w:hAnsi="Arial" w:cs="Arial"/>
          <w:color w:val="000000"/>
          <w:sz w:val="20"/>
          <w:szCs w:val="20"/>
        </w:rPr>
        <w:t xml:space="preserve">az Európai Unió működéséről szóló szerződés 107. és 108. cikkének a csekély összegű támogatásokra való alkalmazásáról szóló 2023. december 13-i (EU) 2023/2831 bizottsági rendelet </w:t>
      </w:r>
      <w:r>
        <w:rPr>
          <w:rFonts w:ascii="Arial" w:hAnsi="Arial" w:cs="Arial"/>
          <w:color w:val="000000"/>
          <w:sz w:val="20"/>
          <w:szCs w:val="20"/>
        </w:rPr>
        <w:t>[a továbbiakban:</w:t>
      </w:r>
      <w:r w:rsidRPr="00AA2B4F">
        <w:rPr>
          <w:rFonts w:ascii="Arial" w:hAnsi="Arial" w:cs="Arial"/>
          <w:color w:val="000000"/>
          <w:sz w:val="20"/>
          <w:szCs w:val="20"/>
        </w:rPr>
        <w:t xml:space="preserve"> (EU) 2023/2831 bizottsági rendelet</w:t>
      </w:r>
      <w:r>
        <w:rPr>
          <w:rFonts w:ascii="Arial" w:hAnsi="Arial" w:cs="Arial"/>
          <w:color w:val="000000"/>
          <w:sz w:val="20"/>
          <w:szCs w:val="20"/>
        </w:rPr>
        <w:t>]</w:t>
      </w:r>
      <w:r w:rsidRPr="00AA2B4F">
        <w:rPr>
          <w:rFonts w:ascii="Arial" w:hAnsi="Arial" w:cs="Arial"/>
          <w:color w:val="000000"/>
          <w:sz w:val="20"/>
          <w:szCs w:val="20"/>
        </w:rPr>
        <w:t xml:space="preserve"> szerinti csekély összegű támogatás,</w:t>
      </w:r>
    </w:p>
    <w:p w14:paraId="278ECA9E" w14:textId="77777777" w:rsidR="00642E60" w:rsidRDefault="00642E60" w:rsidP="00642E60">
      <w:pPr>
        <w:pStyle w:val="Listaszerbekezds"/>
        <w:numPr>
          <w:ilvl w:val="0"/>
          <w:numId w:val="31"/>
        </w:numPr>
        <w:suppressAutoHyphens/>
        <w:spacing w:before="0" w:beforeAutospacing="0" w:after="200" w:afterAutospacing="0"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1A6B19">
        <w:rPr>
          <w:rFonts w:ascii="Arial" w:hAnsi="Arial" w:cs="Arial"/>
          <w:color w:val="000000"/>
          <w:sz w:val="20"/>
          <w:szCs w:val="20"/>
        </w:rPr>
        <w:t xml:space="preserve">az Európai Unió működéséről szóló szerződés 107. és 108. cikkének a mezőgazdasági ágazatban nyújtott csekély összegű támogatásokra való alkalmazásáról szóló, 2013. december 18-ai 1408/2013/EU bizottsági rendelet </w:t>
      </w:r>
      <w:r>
        <w:rPr>
          <w:rFonts w:ascii="Arial" w:hAnsi="Arial" w:cs="Arial"/>
          <w:color w:val="000000"/>
          <w:sz w:val="20"/>
          <w:szCs w:val="20"/>
        </w:rPr>
        <w:t xml:space="preserve">(a továbbiakban: </w:t>
      </w:r>
      <w:r w:rsidRPr="00AA2B4F">
        <w:rPr>
          <w:rFonts w:ascii="Arial" w:hAnsi="Arial" w:cs="Arial"/>
          <w:sz w:val="20"/>
          <w:szCs w:val="20"/>
        </w:rPr>
        <w:t>1408/2013/EU bizottsági rendelet</w:t>
      </w:r>
      <w:r>
        <w:rPr>
          <w:rFonts w:ascii="Arial" w:hAnsi="Arial" w:cs="Arial"/>
          <w:sz w:val="20"/>
          <w:szCs w:val="20"/>
        </w:rPr>
        <w:t>)</w:t>
      </w:r>
      <w:r w:rsidRPr="00AA2B4F">
        <w:rPr>
          <w:rFonts w:ascii="Arial" w:hAnsi="Arial" w:cs="Arial"/>
          <w:sz w:val="20"/>
          <w:szCs w:val="20"/>
        </w:rPr>
        <w:t xml:space="preserve"> szerinti </w:t>
      </w:r>
      <w:r w:rsidRPr="00AA2B4F">
        <w:rPr>
          <w:rFonts w:ascii="Arial" w:hAnsi="Arial" w:cs="Arial"/>
          <w:color w:val="000000"/>
          <w:sz w:val="20"/>
          <w:szCs w:val="20"/>
        </w:rPr>
        <w:t>mezőgazdasági csekély összegű támogatás,</w:t>
      </w:r>
    </w:p>
    <w:p w14:paraId="2BFFC832" w14:textId="77777777" w:rsidR="00642E60" w:rsidRDefault="00642E60" w:rsidP="00642E60">
      <w:pPr>
        <w:pStyle w:val="Listaszerbekezds"/>
        <w:numPr>
          <w:ilvl w:val="0"/>
          <w:numId w:val="31"/>
        </w:numPr>
        <w:suppressAutoHyphens/>
        <w:spacing w:before="0" w:beforeAutospacing="0" w:after="200" w:afterAutospacing="0"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AA2B4F">
        <w:rPr>
          <w:rFonts w:ascii="Arial" w:hAnsi="Arial" w:cs="Arial"/>
          <w:color w:val="000000"/>
          <w:sz w:val="20"/>
          <w:szCs w:val="20"/>
        </w:rPr>
        <w:t>a</w:t>
      </w:r>
      <w:r w:rsidRPr="001A6B19">
        <w:rPr>
          <w:rFonts w:ascii="Arial" w:hAnsi="Arial" w:cs="Arial"/>
          <w:color w:val="000000"/>
          <w:sz w:val="20"/>
          <w:szCs w:val="20"/>
        </w:rPr>
        <w:t xml:space="preserve"> Szerződés 107. és 108. cikke alkalmazásában bizonyos támogatási kategóriáknak a belső piaccal összeegyeztethetőnek nyilvánításáról szóló 651/2014/EU bizottsági rendelet</w:t>
      </w:r>
      <w:r>
        <w:rPr>
          <w:rFonts w:ascii="Arial" w:hAnsi="Arial" w:cs="Arial"/>
          <w:color w:val="000000"/>
          <w:sz w:val="20"/>
          <w:szCs w:val="20"/>
        </w:rPr>
        <w:t xml:space="preserve"> (a továbbiakban: </w:t>
      </w:r>
      <w:r w:rsidRPr="00AA2B4F">
        <w:rPr>
          <w:rFonts w:ascii="Arial" w:hAnsi="Arial" w:cs="Arial"/>
          <w:color w:val="000000"/>
          <w:sz w:val="20"/>
          <w:szCs w:val="20"/>
        </w:rPr>
        <w:t>csoportmentességi rendelet) 32. cikke szerinti hátrányos helyzetű</w:t>
      </w:r>
      <w:r w:rsidRPr="00626247">
        <w:t xml:space="preserve"> </w:t>
      </w:r>
      <w:r w:rsidRPr="00AA2B4F">
        <w:rPr>
          <w:rFonts w:ascii="Arial" w:hAnsi="Arial" w:cs="Arial"/>
          <w:color w:val="000000"/>
          <w:sz w:val="20"/>
          <w:szCs w:val="20"/>
        </w:rPr>
        <w:t>munkavállaló</w:t>
      </w:r>
      <w:r>
        <w:rPr>
          <w:rFonts w:ascii="Arial" w:hAnsi="Arial" w:cs="Arial"/>
          <w:color w:val="000000"/>
          <w:sz w:val="20"/>
          <w:szCs w:val="20"/>
        </w:rPr>
        <w:t>k</w:t>
      </w:r>
      <w:r w:rsidRPr="00AA2B4F">
        <w:rPr>
          <w:rFonts w:ascii="Arial" w:hAnsi="Arial" w:cs="Arial"/>
          <w:color w:val="000000"/>
          <w:sz w:val="20"/>
          <w:szCs w:val="20"/>
        </w:rPr>
        <w:t xml:space="preserve"> felvételéhez bértámogatás formájában nyújtott támogatás, illetve</w:t>
      </w:r>
    </w:p>
    <w:p w14:paraId="0EAFF3DE" w14:textId="77777777" w:rsidR="00642E60" w:rsidRDefault="00642E60" w:rsidP="00642E60">
      <w:pPr>
        <w:pStyle w:val="Listaszerbekezds"/>
        <w:numPr>
          <w:ilvl w:val="0"/>
          <w:numId w:val="31"/>
        </w:numPr>
        <w:suppressAutoHyphens/>
        <w:spacing w:before="0" w:beforeAutospacing="0" w:after="200" w:afterAutospacing="0" w:line="276" w:lineRule="auto"/>
        <w:ind w:left="426"/>
        <w:rPr>
          <w:rFonts w:ascii="Arial" w:hAnsi="Arial" w:cs="Arial"/>
          <w:color w:val="000000"/>
          <w:sz w:val="20"/>
          <w:szCs w:val="20"/>
        </w:rPr>
      </w:pPr>
      <w:r w:rsidRPr="00AA2B4F">
        <w:rPr>
          <w:rFonts w:ascii="Arial" w:hAnsi="Arial" w:cs="Arial"/>
          <w:color w:val="000000"/>
          <w:sz w:val="20"/>
          <w:szCs w:val="20"/>
        </w:rPr>
        <w:t>a csoportmentességi rendelet 3</w:t>
      </w:r>
      <w:r>
        <w:rPr>
          <w:rFonts w:ascii="Arial" w:hAnsi="Arial" w:cs="Arial"/>
          <w:color w:val="000000"/>
          <w:sz w:val="20"/>
          <w:szCs w:val="20"/>
        </w:rPr>
        <w:t>3</w:t>
      </w:r>
      <w:r w:rsidRPr="00AA2B4F">
        <w:rPr>
          <w:rFonts w:ascii="Arial" w:hAnsi="Arial" w:cs="Arial"/>
          <w:color w:val="000000"/>
          <w:sz w:val="20"/>
          <w:szCs w:val="20"/>
        </w:rPr>
        <w:t>. cikke szerinti megváltozott munkaképességű munkavállaló</w:t>
      </w:r>
      <w:r>
        <w:rPr>
          <w:rFonts w:ascii="Arial" w:hAnsi="Arial" w:cs="Arial"/>
          <w:color w:val="000000"/>
          <w:sz w:val="20"/>
          <w:szCs w:val="20"/>
        </w:rPr>
        <w:t>k</w:t>
      </w:r>
      <w:r w:rsidRPr="00AA2B4F">
        <w:rPr>
          <w:rFonts w:ascii="Arial" w:hAnsi="Arial" w:cs="Arial"/>
          <w:color w:val="000000"/>
          <w:sz w:val="20"/>
          <w:szCs w:val="20"/>
        </w:rPr>
        <w:t xml:space="preserve"> foglalkoztatásához bértámogatás formájában nyújtott támogatás</w:t>
      </w:r>
    </w:p>
    <w:p w14:paraId="645C306D" w14:textId="77FCB137" w:rsidR="000F2475" w:rsidRPr="00642E60" w:rsidRDefault="00642E60" w:rsidP="00642E60">
      <w:pPr>
        <w:spacing w:after="0"/>
        <w:rPr>
          <w:rFonts w:ascii="Arial" w:eastAsia="Calibri" w:hAnsi="Arial" w:cs="Arial"/>
          <w:color w:val="000000"/>
          <w:sz w:val="20"/>
          <w:szCs w:val="20"/>
        </w:rPr>
      </w:pPr>
      <w:r w:rsidRPr="00AA2B4F">
        <w:rPr>
          <w:rFonts w:ascii="Arial" w:hAnsi="Arial" w:cs="Arial"/>
          <w:color w:val="000000"/>
          <w:sz w:val="20"/>
          <w:szCs w:val="20"/>
        </w:rPr>
        <w:t>jogcímen nyújtható.</w:t>
      </w:r>
    </w:p>
    <w:sectPr w:rsidR="000F2475" w:rsidRPr="00642E60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E5172" w14:textId="5D1A43B1" w:rsidR="00130D85" w:rsidRPr="00A46C5D" w:rsidRDefault="00883B89" w:rsidP="00130D85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737FF9">
      <w:rPr>
        <w:rFonts w:ascii="Times New Roman" w:hAnsi="Times New Roman" w:cs="Times New Roman"/>
        <w:i/>
        <w:noProof/>
        <w:sz w:val="24"/>
        <w:szCs w:val="24"/>
        <w:highlight w:val="yellow"/>
        <w:lang w:eastAsia="hu-HU"/>
      </w:rPr>
      <w:drawing>
        <wp:anchor distT="0" distB="0" distL="114300" distR="114300" simplePos="0" relativeHeight="251661312" behindDoc="1" locked="0" layoutInCell="1" allowOverlap="1" wp14:anchorId="4A6127B0" wp14:editId="633404D8">
          <wp:simplePos x="0" y="0"/>
          <wp:positionH relativeFrom="page">
            <wp:posOffset>3369310</wp:posOffset>
          </wp:positionH>
          <wp:positionV relativeFrom="page">
            <wp:posOffset>9311005</wp:posOffset>
          </wp:positionV>
          <wp:extent cx="4168202" cy="1362075"/>
          <wp:effectExtent l="0" t="0" r="3810" b="0"/>
          <wp:wrapTight wrapText="bothSides">
            <wp:wrapPolygon edited="0">
              <wp:start x="0" y="0"/>
              <wp:lineTo x="0" y="21147"/>
              <wp:lineTo x="21521" y="21147"/>
              <wp:lineTo x="21521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8202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83B89">
      <w:rPr>
        <w:rFonts w:ascii="Arial" w:hAnsi="Arial" w:cs="Arial"/>
        <w:sz w:val="16"/>
        <w:szCs w:val="16"/>
      </w:rPr>
      <w:t>F</w:t>
    </w:r>
    <w:r w:rsidR="00130D85" w:rsidRPr="00A46C5D">
      <w:rPr>
        <w:rFonts w:ascii="Arial" w:hAnsi="Arial" w:cs="Arial"/>
        <w:bCs/>
        <w:sz w:val="16"/>
        <w:szCs w:val="16"/>
      </w:rPr>
      <w:t xml:space="preserve">oglalkoztatási, Foglalkoztatás-felügyeleti és </w:t>
    </w:r>
  </w:p>
  <w:p w14:paraId="6CF7743A" w14:textId="77777777" w:rsidR="00130D85" w:rsidRPr="00A46C5D" w:rsidRDefault="00130D85" w:rsidP="00130D85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Munkavédelmi Főosztály</w:t>
    </w:r>
  </w:p>
  <w:p w14:paraId="6C32D1E6" w14:textId="77777777" w:rsidR="00130D85" w:rsidRPr="00A46C5D" w:rsidRDefault="00130D85" w:rsidP="00130D85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 xml:space="preserve">2800 Tatabánya, Bárdos László utca 2. </w:t>
    </w:r>
  </w:p>
  <w:p w14:paraId="74AB5611" w14:textId="77777777" w:rsidR="00130D85" w:rsidRPr="00A46C5D" w:rsidRDefault="00130D85" w:rsidP="00130D85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Tel.: (34) 795-068</w:t>
    </w:r>
  </w:p>
  <w:p w14:paraId="09AB10AA" w14:textId="2A28377C" w:rsidR="00883B89" w:rsidRPr="00130D85" w:rsidRDefault="00130D85" w:rsidP="00130D85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A46C5D">
      <w:rPr>
        <w:rFonts w:ascii="Arial" w:hAnsi="Arial" w:cs="Arial"/>
        <w:bCs/>
        <w:sz w:val="16"/>
        <w:szCs w:val="16"/>
      </w:rPr>
      <w:t>E-mail: foglalkoztatas@komarom.gov.hu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  <w:footnote w:id="1">
    <w:p w14:paraId="0B354860" w14:textId="77777777" w:rsidR="00642E60" w:rsidRPr="009856C2" w:rsidRDefault="00642E60" w:rsidP="00642E60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2B34F8">
        <w:t>A Közlemény 28-29. pontjai</w:t>
      </w:r>
      <w:r>
        <w:t>ban foglaltakra figyelemmel.</w:t>
      </w:r>
    </w:p>
  </w:footnote>
  <w:footnote w:id="2">
    <w:p w14:paraId="162642C6" w14:textId="77777777" w:rsidR="00642E60" w:rsidRPr="009856C2" w:rsidRDefault="00642E60" w:rsidP="00642E60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 Közlemény 17. és 20. pontjaiban foglaltakra figyelemmel. </w:t>
      </w:r>
    </w:p>
  </w:footnote>
  <w:footnote w:id="3">
    <w:p w14:paraId="54DC6CBC" w14:textId="77777777" w:rsidR="00642E60" w:rsidRPr="00003AB8" w:rsidRDefault="00642E60" w:rsidP="00642E60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 Közlemény 24. pontjában foglaltak szerint a </w:t>
      </w:r>
      <w:r w:rsidRPr="000013A9">
        <w:rPr>
          <w:bCs/>
        </w:rPr>
        <w:t>szolidaritás elvére épülve a nemzeti egészségügyi szolgálat szerves részét képező közkórházak</w:t>
      </w:r>
      <w:r>
        <w:rPr>
          <w:bCs/>
        </w:rPr>
        <w:t>, egészségügyi intézmények -</w:t>
      </w:r>
      <w:r w:rsidRPr="000013A9">
        <w:rPr>
          <w:bCs/>
        </w:rPr>
        <w:t xml:space="preserve"> amelyeket közvetlenül társadalombiztosítási járulékokból és más állami forrásokból finanszírozzák, szolgáltatásaikat pedig a rendszer minden tagja sz</w:t>
      </w:r>
      <w:r>
        <w:rPr>
          <w:bCs/>
        </w:rPr>
        <w:t>ámára térítésmentesen nyújtják -</w:t>
      </w:r>
      <w:r w:rsidRPr="000013A9">
        <w:rPr>
          <w:bCs/>
        </w:rPr>
        <w:t xml:space="preserve"> szintén nem vállalkozásként működnek</w:t>
      </w:r>
      <w:r>
        <w:rPr>
          <w:bCs/>
        </w:rPr>
        <w:t>.</w:t>
      </w:r>
    </w:p>
  </w:footnote>
  <w:footnote w:id="4">
    <w:p w14:paraId="27445B17" w14:textId="77777777" w:rsidR="00642E60" w:rsidRPr="00003AB8" w:rsidRDefault="00642E60" w:rsidP="00642E60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A Közlemény 33-34. pontjában foglaltak szerint, fi</w:t>
      </w:r>
      <w:r w:rsidRPr="00794119">
        <w:t>gyelembe véve a kultúrához, a kulturális örökség megőrzéséhez és a természetvédelemhez kapcsolódó bizonyos tevékenységek sajátos jellegét, e tevékenységek megszervezhetők nem kereskedelmi módo</w:t>
      </w:r>
      <w:r>
        <w:t xml:space="preserve">n, így nem gazdasági jellegűek </w:t>
      </w:r>
      <w:r w:rsidRPr="00794119">
        <w:t>(pl. múzeumok, levéltárak, könyvtárak, művészeti és kulturális központok vagy terek, színházak, operaházak, koncerttermek, régészeti lelőhelyek, műemlékek, történelmi helyszínek és épületek, hagyományok és mesterségek, fesztiválok és kiállítások, valamint kulturális és művészeti oktatási tevékenységek). A nagyközönség számára térítésmentesen hozzáférhető kulturális tevékenység vagy a kulturális örökség megőrzéséhez kapcsolódó tevékenység állami finanszírozása tisztán társadalmi és kulturális célt szolgál, ami nem gazdasági jellegű. Hasonlóképpen az, hogy egy kulturális intézmény látogatóinak vagy tevékenység, vagy a kulturális örökség megőrzéséhez – többek között a természetvédelemhez – kapcsolódó tevékenység résztvevőinek pénzügyi hozzájárulást kellene fizetniük, amely a valódi költségeknek csupán egy töredékét fedezi, nem változtat az említett tevékenység nem gazdasági jellegén, mivel nem tekinthető a nyújtott szolgáltatás valódi díjazásának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29D91286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07A85BAD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9F4111" w14:textId="67B071DE" w:rsidR="00883B89" w:rsidRDefault="00883B89" w:rsidP="00883B89">
    <w:pPr>
      <w:jc w:val="center"/>
      <w:rPr>
        <w:spacing w:val="20"/>
      </w:rPr>
    </w:pPr>
  </w:p>
  <w:p w14:paraId="432D2C07" w14:textId="6033C1B8" w:rsidR="00883B89" w:rsidRDefault="00883B89" w:rsidP="00883B89">
    <w:pPr>
      <w:jc w:val="center"/>
      <w:rPr>
        <w:spacing w:val="20"/>
      </w:rPr>
    </w:pPr>
  </w:p>
  <w:p w14:paraId="45C05A38" w14:textId="042614EF" w:rsidR="00883B89" w:rsidRPr="00883B89" w:rsidRDefault="00883B89" w:rsidP="00883B89">
    <w:pPr>
      <w:jc w:val="center"/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1DE63453"/>
    <w:multiLevelType w:val="multilevel"/>
    <w:tmpl w:val="334E923A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3CB203D"/>
    <w:multiLevelType w:val="hybridMultilevel"/>
    <w:tmpl w:val="57E434F6"/>
    <w:lvl w:ilvl="0" w:tplc="164CE69C">
      <w:start w:val="1"/>
      <w:numFmt w:val="upperRoman"/>
      <w:lvlText w:val="%1."/>
      <w:lvlJc w:val="left"/>
      <w:pPr>
        <w:ind w:left="72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3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BBE790F"/>
    <w:multiLevelType w:val="hybridMultilevel"/>
    <w:tmpl w:val="C8D05B10"/>
    <w:lvl w:ilvl="0" w:tplc="040E000F">
      <w:start w:val="1"/>
      <w:numFmt w:val="decimal"/>
      <w:lvlText w:val="%1."/>
      <w:lvlJc w:val="left"/>
      <w:pPr>
        <w:ind w:left="1287" w:hanging="360"/>
      </w:pPr>
    </w:lvl>
    <w:lvl w:ilvl="1" w:tplc="040E0019" w:tentative="1">
      <w:start w:val="1"/>
      <w:numFmt w:val="lowerLetter"/>
      <w:lvlText w:val="%2."/>
      <w:lvlJc w:val="left"/>
      <w:pPr>
        <w:ind w:left="2007" w:hanging="360"/>
      </w:pPr>
    </w:lvl>
    <w:lvl w:ilvl="2" w:tplc="040E001B" w:tentative="1">
      <w:start w:val="1"/>
      <w:numFmt w:val="lowerRoman"/>
      <w:lvlText w:val="%3."/>
      <w:lvlJc w:val="right"/>
      <w:pPr>
        <w:ind w:left="2727" w:hanging="180"/>
      </w:pPr>
    </w:lvl>
    <w:lvl w:ilvl="3" w:tplc="040E000F" w:tentative="1">
      <w:start w:val="1"/>
      <w:numFmt w:val="decimal"/>
      <w:lvlText w:val="%4."/>
      <w:lvlJc w:val="left"/>
      <w:pPr>
        <w:ind w:left="3447" w:hanging="360"/>
      </w:pPr>
    </w:lvl>
    <w:lvl w:ilvl="4" w:tplc="040E0019" w:tentative="1">
      <w:start w:val="1"/>
      <w:numFmt w:val="lowerLetter"/>
      <w:lvlText w:val="%5."/>
      <w:lvlJc w:val="left"/>
      <w:pPr>
        <w:ind w:left="4167" w:hanging="360"/>
      </w:pPr>
    </w:lvl>
    <w:lvl w:ilvl="5" w:tplc="040E001B" w:tentative="1">
      <w:start w:val="1"/>
      <w:numFmt w:val="lowerRoman"/>
      <w:lvlText w:val="%6."/>
      <w:lvlJc w:val="right"/>
      <w:pPr>
        <w:ind w:left="4887" w:hanging="180"/>
      </w:pPr>
    </w:lvl>
    <w:lvl w:ilvl="6" w:tplc="040E000F" w:tentative="1">
      <w:start w:val="1"/>
      <w:numFmt w:val="decimal"/>
      <w:lvlText w:val="%7."/>
      <w:lvlJc w:val="left"/>
      <w:pPr>
        <w:ind w:left="5607" w:hanging="360"/>
      </w:pPr>
    </w:lvl>
    <w:lvl w:ilvl="7" w:tplc="040E0019" w:tentative="1">
      <w:start w:val="1"/>
      <w:numFmt w:val="lowerLetter"/>
      <w:lvlText w:val="%8."/>
      <w:lvlJc w:val="left"/>
      <w:pPr>
        <w:ind w:left="6327" w:hanging="360"/>
      </w:pPr>
    </w:lvl>
    <w:lvl w:ilvl="8" w:tplc="040E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31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4"/>
  </w:num>
  <w:num w:numId="3">
    <w:abstractNumId w:val="5"/>
  </w:num>
  <w:num w:numId="4">
    <w:abstractNumId w:val="8"/>
  </w:num>
  <w:num w:numId="5">
    <w:abstractNumId w:val="15"/>
  </w:num>
  <w:num w:numId="6">
    <w:abstractNumId w:val="26"/>
  </w:num>
  <w:num w:numId="7">
    <w:abstractNumId w:val="28"/>
  </w:num>
  <w:num w:numId="8">
    <w:abstractNumId w:val="21"/>
  </w:num>
  <w:num w:numId="9">
    <w:abstractNumId w:val="11"/>
  </w:num>
  <w:num w:numId="10">
    <w:abstractNumId w:val="10"/>
  </w:num>
  <w:num w:numId="11">
    <w:abstractNumId w:val="13"/>
  </w:num>
  <w:num w:numId="12">
    <w:abstractNumId w:val="7"/>
  </w:num>
  <w:num w:numId="13">
    <w:abstractNumId w:val="16"/>
  </w:num>
  <w:num w:numId="14">
    <w:abstractNumId w:val="12"/>
  </w:num>
  <w:num w:numId="15">
    <w:abstractNumId w:val="6"/>
  </w:num>
  <w:num w:numId="16">
    <w:abstractNumId w:val="23"/>
  </w:num>
  <w:num w:numId="17">
    <w:abstractNumId w:val="2"/>
  </w:num>
  <w:num w:numId="18">
    <w:abstractNumId w:val="3"/>
  </w:num>
  <w:num w:numId="19">
    <w:abstractNumId w:val="18"/>
  </w:num>
  <w:num w:numId="20">
    <w:abstractNumId w:val="31"/>
  </w:num>
  <w:num w:numId="21">
    <w:abstractNumId w:val="17"/>
  </w:num>
  <w:num w:numId="22">
    <w:abstractNumId w:val="25"/>
  </w:num>
  <w:num w:numId="23">
    <w:abstractNumId w:val="27"/>
  </w:num>
  <w:num w:numId="24">
    <w:abstractNumId w:val="19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0"/>
  </w:num>
  <w:num w:numId="31">
    <w:abstractNumId w:val="9"/>
  </w:num>
  <w:num w:numId="32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65307"/>
    <w:rsid w:val="000869D2"/>
    <w:rsid w:val="000F2475"/>
    <w:rsid w:val="00130D85"/>
    <w:rsid w:val="001C5A35"/>
    <w:rsid w:val="002E67BD"/>
    <w:rsid w:val="003024AF"/>
    <w:rsid w:val="003E130D"/>
    <w:rsid w:val="005B5728"/>
    <w:rsid w:val="00620C03"/>
    <w:rsid w:val="00630880"/>
    <w:rsid w:val="00642E60"/>
    <w:rsid w:val="006A7FAD"/>
    <w:rsid w:val="006C2C04"/>
    <w:rsid w:val="006F6E40"/>
    <w:rsid w:val="007A347F"/>
    <w:rsid w:val="007B3388"/>
    <w:rsid w:val="00842E4C"/>
    <w:rsid w:val="00883B89"/>
    <w:rsid w:val="00A72C7A"/>
    <w:rsid w:val="00D10B0B"/>
    <w:rsid w:val="00D42EB2"/>
    <w:rsid w:val="00D6788F"/>
    <w:rsid w:val="00D9193F"/>
    <w:rsid w:val="00E21206"/>
    <w:rsid w:val="00F44F00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,L"/>
    <w:basedOn w:val="Norml"/>
    <w:link w:val="ListaszerbekezdsChar"/>
    <w:uiPriority w:val="99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,列出段落1 Char"/>
    <w:link w:val="Listaszerbekezds"/>
    <w:uiPriority w:val="99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aliases w:val="Footnote symbol,Char11,Footnote number,BVI fnr, BVI fnr,ftref,Footnotes refss,Fussnota,Footnote reference number,Times 10 Point,Exposant 3 Point,EN Footnote Reference,note TESI,Zchn Zchn"/>
    <w:uiPriority w:val="99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,Footnote,Char1"/>
    <w:basedOn w:val="Norml"/>
    <w:link w:val="LbjegyzetszvegChar"/>
    <w:uiPriority w:val="99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,Footnote Char,Char1 Char"/>
    <w:basedOn w:val="Bekezdsalapbettpusa"/>
    <w:link w:val="Lbjegyzetszveg"/>
    <w:uiPriority w:val="99"/>
    <w:qFormat/>
    <w:rsid w:val="005B5728"/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591</Words>
  <Characters>4079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2</cp:revision>
  <dcterms:created xsi:type="dcterms:W3CDTF">2025-08-27T08:35:00Z</dcterms:created>
  <dcterms:modified xsi:type="dcterms:W3CDTF">2025-08-27T08:35:00Z</dcterms:modified>
</cp:coreProperties>
</file>