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bookmarkEnd w:id="0"/>
          <w:p>
            <w:pPr>
              <w:widowControl w:val="0"/>
              <w:tabs>
                <w:tab w:val="left" w:pos="6345"/>
              </w:tabs>
              <w:spacing w:before="40" w:after="40"/>
              <w:rPr>
                <w:color w:val="306785"/>
                <w:lang w:eastAsia="ja-JP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Kérelem bértámogatásához (de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minimis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)</w:t>
            </w:r>
            <w:r>
              <w:rPr>
                <w:rFonts w:ascii="Arial" w:hAnsi="Arial" w:cs="Arial"/>
                <w:b/>
                <w:color w:val="000000" w:themeColor="text1"/>
              </w:rPr>
              <w:tab/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  <w:jc w:val="center"/>
        </w:trPr>
        <w:tc>
          <w:tcPr>
            <w:tcW w:w="238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8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87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70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38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8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87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7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383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98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56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91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  <w:jc w:val="center"/>
        </w:trPr>
        <w:tc>
          <w:tcPr>
            <w:tcW w:w="6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3 havi (nettó) átlagos statisztikai állományi létszáma (ld. „Útmutató munkaadó részére a nettó létszámnövekedésről c. </w:t>
            </w: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  <w:bookmarkStart w:id="1" w:name="_GoBack"/>
            <w:bookmarkEnd w:id="1"/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740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(a támogatást megítélő okirat </w:t>
                  </w:r>
                  <w:proofErr w:type="gram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dátuma</w:t>
                  </w:r>
                  <w:proofErr w:type="gram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  <w:jc w:val="center"/>
        </w:trPr>
        <w:tc>
          <w:tcPr>
            <w:tcW w:w="9128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  <w:jc w:val="center"/>
        </w:trPr>
        <w:tc>
          <w:tcPr>
            <w:tcW w:w="9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Cím: 8130 Enying Szabadság tér 14. Tel: 22/572-135 Fax: 22/795-882 E-mail: hivatal.enying@fejer.gov.hu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Ügyintézés helye: 8130 Enying Kossuth L. u. 38. Tel: 22/372-990 Fax: 22/372-318 E-mail: foglalkoztatas.enying@fejer.gov.hu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Times New Roman" w:hAnsi="Times New Roman"/>
          <w:color w:val="1F497D"/>
          <w:sz w:val="16"/>
          <w:szCs w:val="16"/>
        </w:rPr>
        <w:t>foglakoztatni</w:t>
      </w:r>
      <w:proofErr w:type="spellEnd"/>
      <w:r>
        <w:rPr>
          <w:rFonts w:ascii="Times New Roman" w:hAnsi="Times New Roman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-847725</wp:posOffset>
          </wp:positionH>
          <wp:positionV relativeFrom="paragraph">
            <wp:posOffset>-219710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B1E0B-1F1F-4FB0-B3BD-40EA63E86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437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12</cp:revision>
  <cp:lastPrinted>2024-02-15T11:47:00Z</cp:lastPrinted>
  <dcterms:created xsi:type="dcterms:W3CDTF">2024-02-29T15:37:00Z</dcterms:created>
  <dcterms:modified xsi:type="dcterms:W3CDTF">2024-12-19T07:12:00Z</dcterms:modified>
</cp:coreProperties>
</file>