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06EF5" w14:textId="77777777" w:rsidR="004B18CE" w:rsidRDefault="004B18CE" w:rsidP="000C2315">
      <w:pPr>
        <w:spacing w:after="360"/>
        <w:jc w:val="center"/>
        <w:rPr>
          <w:szCs w:val="32"/>
        </w:rPr>
      </w:pPr>
    </w:p>
    <w:p w14:paraId="409D7D7A" w14:textId="2C4DA5D7" w:rsidR="00D42B8C" w:rsidRDefault="00D42B8C" w:rsidP="00D42B8C">
      <w:pPr>
        <w:spacing w:after="0"/>
        <w:jc w:val="center"/>
        <w:rPr>
          <w:szCs w:val="32"/>
        </w:rPr>
      </w:pPr>
    </w:p>
    <w:sdt>
      <w:sdtPr>
        <w:rPr>
          <w:b/>
          <w:sz w:val="48"/>
          <w:szCs w:val="32"/>
        </w:rPr>
        <w:alias w:val="Cég/vállalkozás/intézmény/szervezet neve"/>
        <w:tag w:val="Cég/vállalkozás/intézmény/szervezet neve"/>
        <w:id w:val="1532994292"/>
        <w:placeholder>
          <w:docPart w:val="7AE95B52718E49749B2270FA785D8BA2"/>
        </w:placeholder>
        <w:text/>
      </w:sdtPr>
      <w:sdtContent>
        <w:p w14:paraId="74E38E4E" w14:textId="20F42974" w:rsidR="00BE1CF1" w:rsidRDefault="00486C9D" w:rsidP="00BE1CF1">
          <w:pPr>
            <w:spacing w:before="240" w:after="240"/>
            <w:jc w:val="center"/>
            <w:rPr>
              <w:b/>
              <w:sz w:val="48"/>
              <w:szCs w:val="32"/>
            </w:rPr>
          </w:pPr>
          <w:r w:rsidRPr="00486C9D">
            <w:rPr>
              <w:b/>
              <w:sz w:val="48"/>
              <w:szCs w:val="32"/>
            </w:rPr>
            <w:t>DR. FÜLÖP MÉNES Kft.</w:t>
          </w:r>
        </w:p>
      </w:sdtContent>
    </w:sdt>
    <w:p w14:paraId="58D73022" w14:textId="2E159C8E" w:rsidR="00BE1CF1" w:rsidRPr="003A070B" w:rsidRDefault="003A070B" w:rsidP="00BE1CF1">
      <w:pPr>
        <w:spacing w:before="240" w:after="240"/>
        <w:jc w:val="center"/>
        <w:rPr>
          <w:b/>
          <w:sz w:val="32"/>
          <w:szCs w:val="32"/>
        </w:rPr>
      </w:pPr>
      <w:r>
        <w:rPr>
          <w:b/>
          <w:sz w:val="32"/>
          <w:szCs w:val="32"/>
        </w:rPr>
        <w:t>(</w:t>
      </w:r>
      <w:sdt>
        <w:sdtPr>
          <w:rPr>
            <w:b/>
            <w:sz w:val="32"/>
            <w:szCs w:val="32"/>
          </w:rPr>
          <w:alias w:val="Széhely cím"/>
          <w:tag w:val="Széhely cím"/>
          <w:id w:val="297336404"/>
          <w:placeholder>
            <w:docPart w:val="A51A49A6400B4E6E82F6B2A8ABD9FF2C"/>
          </w:placeholder>
          <w:text/>
        </w:sdtPr>
        <w:sdtContent>
          <w:r w:rsidR="006462A6" w:rsidRPr="006462A6">
            <w:rPr>
              <w:b/>
              <w:sz w:val="32"/>
              <w:szCs w:val="32"/>
            </w:rPr>
            <w:t>5243 Tiszaderzs, Őrház 6/3.</w:t>
          </w:r>
        </w:sdtContent>
      </w:sdt>
      <w:r>
        <w:rPr>
          <w:b/>
          <w:sz w:val="32"/>
          <w:szCs w:val="32"/>
        </w:rPr>
        <w:t>)</w:t>
      </w:r>
    </w:p>
    <w:sdt>
      <w:sdtPr>
        <w:rPr>
          <w:b/>
          <w:sz w:val="56"/>
          <w:szCs w:val="72"/>
        </w:rPr>
        <w:alias w:val="Dokumentum címe"/>
        <w:tag w:val="Dokumentum címe"/>
        <w:id w:val="-2083743678"/>
        <w:placeholder>
          <w:docPart w:val="6CBE05A9D3834AEA93075365968457ED"/>
        </w:placeholder>
        <w:text/>
      </w:sdtPr>
      <w:sdtContent>
        <w:p w14:paraId="525E7479" w14:textId="25B3FF73" w:rsidR="00D331B5" w:rsidRPr="00795969" w:rsidRDefault="006462A6" w:rsidP="00795969">
          <w:pPr>
            <w:spacing w:before="840" w:after="360"/>
            <w:jc w:val="center"/>
            <w:rPr>
              <w:b/>
              <w:sz w:val="56"/>
              <w:szCs w:val="72"/>
            </w:rPr>
          </w:pPr>
          <w:r w:rsidRPr="006462A6">
            <w:rPr>
              <w:b/>
              <w:sz w:val="56"/>
              <w:szCs w:val="72"/>
            </w:rPr>
            <w:t xml:space="preserve">Környezeti hatásvizsgálati és egységes környezethasználati engedélyezési dokumentáció </w:t>
          </w:r>
          <w:r w:rsidR="00640B53">
            <w:rPr>
              <w:b/>
              <w:sz w:val="56"/>
              <w:szCs w:val="72"/>
            </w:rPr>
            <w:t>–</w:t>
          </w:r>
          <w:r w:rsidRPr="006462A6">
            <w:rPr>
              <w:b/>
              <w:sz w:val="56"/>
              <w:szCs w:val="72"/>
            </w:rPr>
            <w:t xml:space="preserve"> </w:t>
          </w:r>
          <w:r w:rsidR="004A3178">
            <w:rPr>
              <w:b/>
              <w:sz w:val="56"/>
              <w:szCs w:val="72"/>
            </w:rPr>
            <w:t>Éghajlatvédelem</w:t>
          </w:r>
        </w:p>
      </w:sdtContent>
    </w:sdt>
    <w:p w14:paraId="5DD8BDE2" w14:textId="0CC9D2FA" w:rsidR="00640B53" w:rsidRPr="00640B53" w:rsidRDefault="00640B53" w:rsidP="002A00AF">
      <w:pPr>
        <w:spacing w:before="480"/>
        <w:jc w:val="center"/>
        <w:rPr>
          <w:b/>
          <w:sz w:val="36"/>
          <w:szCs w:val="36"/>
        </w:rPr>
      </w:pPr>
      <w:r w:rsidRPr="00640B53">
        <w:rPr>
          <w:b/>
          <w:sz w:val="36"/>
          <w:szCs w:val="36"/>
        </w:rPr>
        <w:t>Sertéstelep és hígtrágya tároló létesítése</w:t>
      </w:r>
    </w:p>
    <w:p w14:paraId="0CA723EC" w14:textId="4BDEAEE8" w:rsidR="004B18CE" w:rsidRPr="000E3F78" w:rsidRDefault="0069235C" w:rsidP="002A00AF">
      <w:pPr>
        <w:spacing w:before="480"/>
        <w:jc w:val="center"/>
        <w:rPr>
          <w:caps/>
          <w:szCs w:val="32"/>
        </w:rPr>
      </w:pPr>
      <w:r>
        <w:rPr>
          <w:b/>
          <w:sz w:val="32"/>
          <w:szCs w:val="32"/>
        </w:rPr>
        <w:t>Telephely</w:t>
      </w:r>
      <w:r w:rsidR="003A070B" w:rsidRPr="00EE2B46">
        <w:rPr>
          <w:b/>
          <w:sz w:val="32"/>
          <w:szCs w:val="32"/>
        </w:rPr>
        <w:t xml:space="preserve">: </w:t>
      </w:r>
      <w:sdt>
        <w:sdtPr>
          <w:rPr>
            <w:b/>
            <w:sz w:val="32"/>
            <w:szCs w:val="32"/>
          </w:rPr>
          <w:alias w:val="Projekt neve"/>
          <w:tag w:val="Projekt neve"/>
          <w:id w:val="-1186138096"/>
          <w:placeholder>
            <w:docPart w:val="48B7B219E7FE45929428FF60E12F2CF5"/>
          </w:placeholder>
          <w:text/>
        </w:sdtPr>
        <w:sdtContent>
          <w:r w:rsidR="00640B53" w:rsidRPr="00640B53">
            <w:rPr>
              <w:b/>
              <w:sz w:val="32"/>
              <w:szCs w:val="32"/>
            </w:rPr>
            <w:t>5244 Tiszaszőlős, 0244. és 0242/2 hrsz.</w:t>
          </w:r>
        </w:sdtContent>
      </w:sdt>
    </w:p>
    <w:p w14:paraId="0319BFAC" w14:textId="77777777" w:rsidR="002A00AF" w:rsidRPr="000E3F78" w:rsidRDefault="002A00AF">
      <w:pPr>
        <w:spacing w:after="0"/>
        <w:jc w:val="left"/>
        <w:rPr>
          <w:caps/>
          <w:szCs w:val="32"/>
        </w:rPr>
        <w:sectPr w:rsidR="002A00AF" w:rsidRPr="000E3F78" w:rsidSect="00797E67">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pPr>
    </w:p>
    <w:bookmarkStart w:id="0" w:name="_Ref15396452"/>
    <w:bookmarkStart w:id="1" w:name="_Ref39820944"/>
    <w:bookmarkStart w:id="2" w:name="_Toc230560263"/>
    <w:p w14:paraId="3E3772E0" w14:textId="0F104865" w:rsidR="00040813" w:rsidRDefault="00C0254C">
      <w:pPr>
        <w:pStyle w:val="TJ1"/>
        <w:rPr>
          <w:rFonts w:asciiTheme="minorHAnsi" w:eastAsiaTheme="minorEastAsia" w:hAnsiTheme="minorHAnsi" w:cstheme="minorBidi"/>
          <w:b w:val="0"/>
          <w:kern w:val="2"/>
          <w:sz w:val="24"/>
          <w14:ligatures w14:val="standardContextual"/>
        </w:rPr>
      </w:pPr>
      <w:r>
        <w:lastRenderedPageBreak/>
        <w:fldChar w:fldCharType="begin"/>
      </w:r>
      <w:r>
        <w:instrText xml:space="preserve"> TOC \o "1-3" \h \z \u </w:instrText>
      </w:r>
      <w:r>
        <w:fldChar w:fldCharType="separate"/>
      </w:r>
      <w:hyperlink w:anchor="_Toc231161070" w:history="1">
        <w:r w:rsidR="00040813" w:rsidRPr="00C91020">
          <w:rPr>
            <w:rStyle w:val="Hiperhivatkozs"/>
          </w:rPr>
          <w:t>1.</w:t>
        </w:r>
        <w:r w:rsidR="00040813">
          <w:rPr>
            <w:rFonts w:asciiTheme="minorHAnsi" w:eastAsiaTheme="minorEastAsia" w:hAnsiTheme="minorHAnsi" w:cstheme="minorBidi"/>
            <w:b w:val="0"/>
            <w:kern w:val="2"/>
            <w:sz w:val="24"/>
            <w14:ligatures w14:val="standardContextual"/>
          </w:rPr>
          <w:tab/>
        </w:r>
        <w:r w:rsidR="00040813" w:rsidRPr="00C91020">
          <w:rPr>
            <w:rStyle w:val="Hiperhivatkozs"/>
          </w:rPr>
          <w:t>Előzmények</w:t>
        </w:r>
        <w:r w:rsidR="00040813">
          <w:rPr>
            <w:webHidden/>
          </w:rPr>
          <w:tab/>
        </w:r>
        <w:r w:rsidR="00040813">
          <w:rPr>
            <w:webHidden/>
          </w:rPr>
          <w:fldChar w:fldCharType="begin"/>
        </w:r>
        <w:r w:rsidR="00040813">
          <w:rPr>
            <w:webHidden/>
          </w:rPr>
          <w:instrText xml:space="preserve"> PAGEREF _Toc231161070 \h </w:instrText>
        </w:r>
        <w:r w:rsidR="00040813">
          <w:rPr>
            <w:webHidden/>
          </w:rPr>
        </w:r>
        <w:r w:rsidR="00040813">
          <w:rPr>
            <w:webHidden/>
          </w:rPr>
          <w:fldChar w:fldCharType="separate"/>
        </w:r>
        <w:r w:rsidR="00040813">
          <w:rPr>
            <w:webHidden/>
          </w:rPr>
          <w:t>5</w:t>
        </w:r>
        <w:r w:rsidR="00040813">
          <w:rPr>
            <w:webHidden/>
          </w:rPr>
          <w:fldChar w:fldCharType="end"/>
        </w:r>
      </w:hyperlink>
    </w:p>
    <w:p w14:paraId="703EBEE2" w14:textId="269F8C66" w:rsidR="00040813" w:rsidRDefault="00040813">
      <w:pPr>
        <w:pStyle w:val="TJ1"/>
        <w:rPr>
          <w:rFonts w:asciiTheme="minorHAnsi" w:eastAsiaTheme="minorEastAsia" w:hAnsiTheme="minorHAnsi" w:cstheme="minorBidi"/>
          <w:b w:val="0"/>
          <w:kern w:val="2"/>
          <w:sz w:val="24"/>
          <w14:ligatures w14:val="standardContextual"/>
        </w:rPr>
      </w:pPr>
      <w:hyperlink w:anchor="_Toc231161071" w:history="1">
        <w:r w:rsidRPr="00C91020">
          <w:rPr>
            <w:rStyle w:val="Hiperhivatkozs"/>
          </w:rPr>
          <w:t>2.</w:t>
        </w:r>
        <w:r>
          <w:rPr>
            <w:rFonts w:asciiTheme="minorHAnsi" w:eastAsiaTheme="minorEastAsia" w:hAnsiTheme="minorHAnsi" w:cstheme="minorBidi"/>
            <w:b w:val="0"/>
            <w:kern w:val="2"/>
            <w:sz w:val="24"/>
            <w14:ligatures w14:val="standardContextual"/>
          </w:rPr>
          <w:tab/>
        </w:r>
        <w:r w:rsidRPr="00C91020">
          <w:rPr>
            <w:rStyle w:val="Hiperhivatkozs"/>
          </w:rPr>
          <w:t>Stratégiai és klímavédelmi célkitűzések</w:t>
        </w:r>
        <w:r>
          <w:rPr>
            <w:webHidden/>
          </w:rPr>
          <w:tab/>
        </w:r>
        <w:r>
          <w:rPr>
            <w:webHidden/>
          </w:rPr>
          <w:fldChar w:fldCharType="begin"/>
        </w:r>
        <w:r>
          <w:rPr>
            <w:webHidden/>
          </w:rPr>
          <w:instrText xml:space="preserve"> PAGEREF _Toc231161071 \h </w:instrText>
        </w:r>
        <w:r>
          <w:rPr>
            <w:webHidden/>
          </w:rPr>
        </w:r>
        <w:r>
          <w:rPr>
            <w:webHidden/>
          </w:rPr>
          <w:fldChar w:fldCharType="separate"/>
        </w:r>
        <w:r>
          <w:rPr>
            <w:webHidden/>
          </w:rPr>
          <w:t>6</w:t>
        </w:r>
        <w:r>
          <w:rPr>
            <w:webHidden/>
          </w:rPr>
          <w:fldChar w:fldCharType="end"/>
        </w:r>
      </w:hyperlink>
    </w:p>
    <w:p w14:paraId="322DD731" w14:textId="309C0551" w:rsidR="00040813" w:rsidRDefault="00040813">
      <w:pPr>
        <w:pStyle w:val="TJ2"/>
        <w:tabs>
          <w:tab w:val="left" w:pos="960"/>
          <w:tab w:val="right" w:leader="dot" w:pos="9060"/>
        </w:tabs>
        <w:rPr>
          <w:rFonts w:asciiTheme="minorHAnsi" w:eastAsiaTheme="minorEastAsia" w:hAnsiTheme="minorHAnsi" w:cstheme="minorBidi"/>
          <w:noProof/>
          <w:kern w:val="2"/>
          <w14:ligatures w14:val="standardContextual"/>
        </w:rPr>
      </w:pPr>
      <w:hyperlink w:anchor="_Toc231161072" w:history="1">
        <w:r w:rsidRPr="00C91020">
          <w:rPr>
            <w:rStyle w:val="Hiperhivatkozs"/>
            <w:noProof/>
          </w:rPr>
          <w:t>2.1.</w:t>
        </w:r>
        <w:r>
          <w:rPr>
            <w:rFonts w:asciiTheme="minorHAnsi" w:eastAsiaTheme="minorEastAsia" w:hAnsiTheme="minorHAnsi" w:cstheme="minorBidi"/>
            <w:noProof/>
            <w:kern w:val="2"/>
            <w14:ligatures w14:val="standardContextual"/>
          </w:rPr>
          <w:tab/>
        </w:r>
        <w:r w:rsidRPr="00C91020">
          <w:rPr>
            <w:rStyle w:val="Hiperhivatkozs"/>
            <w:noProof/>
          </w:rPr>
          <w:t>Európai uniós szintű stratégiai célok és szakpolitikai keretek</w:t>
        </w:r>
        <w:r>
          <w:rPr>
            <w:noProof/>
            <w:webHidden/>
          </w:rPr>
          <w:tab/>
        </w:r>
        <w:r>
          <w:rPr>
            <w:noProof/>
            <w:webHidden/>
          </w:rPr>
          <w:fldChar w:fldCharType="begin"/>
        </w:r>
        <w:r>
          <w:rPr>
            <w:noProof/>
            <w:webHidden/>
          </w:rPr>
          <w:instrText xml:space="preserve"> PAGEREF _Toc231161072 \h </w:instrText>
        </w:r>
        <w:r>
          <w:rPr>
            <w:noProof/>
            <w:webHidden/>
          </w:rPr>
        </w:r>
        <w:r>
          <w:rPr>
            <w:noProof/>
            <w:webHidden/>
          </w:rPr>
          <w:fldChar w:fldCharType="separate"/>
        </w:r>
        <w:r>
          <w:rPr>
            <w:noProof/>
            <w:webHidden/>
          </w:rPr>
          <w:t>6</w:t>
        </w:r>
        <w:r>
          <w:rPr>
            <w:noProof/>
            <w:webHidden/>
          </w:rPr>
          <w:fldChar w:fldCharType="end"/>
        </w:r>
      </w:hyperlink>
    </w:p>
    <w:p w14:paraId="23A54CA4" w14:textId="3BBC3177" w:rsidR="00040813" w:rsidRDefault="00040813">
      <w:pPr>
        <w:pStyle w:val="TJ2"/>
        <w:tabs>
          <w:tab w:val="left" w:pos="960"/>
          <w:tab w:val="right" w:leader="dot" w:pos="9060"/>
        </w:tabs>
        <w:rPr>
          <w:rFonts w:asciiTheme="minorHAnsi" w:eastAsiaTheme="minorEastAsia" w:hAnsiTheme="minorHAnsi" w:cstheme="minorBidi"/>
          <w:noProof/>
          <w:kern w:val="2"/>
          <w14:ligatures w14:val="standardContextual"/>
        </w:rPr>
      </w:pPr>
      <w:hyperlink w:anchor="_Toc231161073" w:history="1">
        <w:r w:rsidRPr="00C91020">
          <w:rPr>
            <w:rStyle w:val="Hiperhivatkozs"/>
            <w:noProof/>
          </w:rPr>
          <w:t>2.2.</w:t>
        </w:r>
        <w:r>
          <w:rPr>
            <w:rFonts w:asciiTheme="minorHAnsi" w:eastAsiaTheme="minorEastAsia" w:hAnsiTheme="minorHAnsi" w:cstheme="minorBidi"/>
            <w:noProof/>
            <w:kern w:val="2"/>
            <w14:ligatures w14:val="standardContextual"/>
          </w:rPr>
          <w:tab/>
        </w:r>
        <w:r w:rsidRPr="00C91020">
          <w:rPr>
            <w:rStyle w:val="Hiperhivatkozs"/>
            <w:noProof/>
          </w:rPr>
          <w:t>Országos szintű stratégiai célok és kormányzati programok</w:t>
        </w:r>
        <w:r>
          <w:rPr>
            <w:noProof/>
            <w:webHidden/>
          </w:rPr>
          <w:tab/>
        </w:r>
        <w:r>
          <w:rPr>
            <w:noProof/>
            <w:webHidden/>
          </w:rPr>
          <w:fldChar w:fldCharType="begin"/>
        </w:r>
        <w:r>
          <w:rPr>
            <w:noProof/>
            <w:webHidden/>
          </w:rPr>
          <w:instrText xml:space="preserve"> PAGEREF _Toc231161073 \h </w:instrText>
        </w:r>
        <w:r>
          <w:rPr>
            <w:noProof/>
            <w:webHidden/>
          </w:rPr>
        </w:r>
        <w:r>
          <w:rPr>
            <w:noProof/>
            <w:webHidden/>
          </w:rPr>
          <w:fldChar w:fldCharType="separate"/>
        </w:r>
        <w:r>
          <w:rPr>
            <w:noProof/>
            <w:webHidden/>
          </w:rPr>
          <w:t>6</w:t>
        </w:r>
        <w:r>
          <w:rPr>
            <w:noProof/>
            <w:webHidden/>
          </w:rPr>
          <w:fldChar w:fldCharType="end"/>
        </w:r>
      </w:hyperlink>
    </w:p>
    <w:p w14:paraId="177A0141" w14:textId="68219B97" w:rsidR="00040813" w:rsidRDefault="00040813">
      <w:pPr>
        <w:pStyle w:val="TJ2"/>
        <w:tabs>
          <w:tab w:val="left" w:pos="960"/>
          <w:tab w:val="right" w:leader="dot" w:pos="9060"/>
        </w:tabs>
        <w:rPr>
          <w:rFonts w:asciiTheme="minorHAnsi" w:eastAsiaTheme="minorEastAsia" w:hAnsiTheme="minorHAnsi" w:cstheme="minorBidi"/>
          <w:noProof/>
          <w:kern w:val="2"/>
          <w14:ligatures w14:val="standardContextual"/>
        </w:rPr>
      </w:pPr>
      <w:hyperlink w:anchor="_Toc231161074" w:history="1">
        <w:r w:rsidRPr="00C91020">
          <w:rPr>
            <w:rStyle w:val="Hiperhivatkozs"/>
            <w:noProof/>
          </w:rPr>
          <w:t>2.3.</w:t>
        </w:r>
        <w:r>
          <w:rPr>
            <w:rFonts w:asciiTheme="minorHAnsi" w:eastAsiaTheme="minorEastAsia" w:hAnsiTheme="minorHAnsi" w:cstheme="minorBidi"/>
            <w:noProof/>
            <w:kern w:val="2"/>
            <w14:ligatures w14:val="standardContextual"/>
          </w:rPr>
          <w:tab/>
        </w:r>
        <w:r w:rsidRPr="00C91020">
          <w:rPr>
            <w:rStyle w:val="Hiperhivatkozs"/>
            <w:noProof/>
          </w:rPr>
          <w:t>Szakmai és módszertani háttéranyagok (Mezőgazdaság és BAT)</w:t>
        </w:r>
        <w:r>
          <w:rPr>
            <w:noProof/>
            <w:webHidden/>
          </w:rPr>
          <w:tab/>
        </w:r>
        <w:r>
          <w:rPr>
            <w:noProof/>
            <w:webHidden/>
          </w:rPr>
          <w:fldChar w:fldCharType="begin"/>
        </w:r>
        <w:r>
          <w:rPr>
            <w:noProof/>
            <w:webHidden/>
          </w:rPr>
          <w:instrText xml:space="preserve"> PAGEREF _Toc231161074 \h </w:instrText>
        </w:r>
        <w:r>
          <w:rPr>
            <w:noProof/>
            <w:webHidden/>
          </w:rPr>
        </w:r>
        <w:r>
          <w:rPr>
            <w:noProof/>
            <w:webHidden/>
          </w:rPr>
          <w:fldChar w:fldCharType="separate"/>
        </w:r>
        <w:r>
          <w:rPr>
            <w:noProof/>
            <w:webHidden/>
          </w:rPr>
          <w:t>7</w:t>
        </w:r>
        <w:r>
          <w:rPr>
            <w:noProof/>
            <w:webHidden/>
          </w:rPr>
          <w:fldChar w:fldCharType="end"/>
        </w:r>
      </w:hyperlink>
    </w:p>
    <w:p w14:paraId="3E8ECDA4" w14:textId="7482261B" w:rsidR="00040813" w:rsidRDefault="00040813">
      <w:pPr>
        <w:pStyle w:val="TJ1"/>
        <w:rPr>
          <w:rFonts w:asciiTheme="minorHAnsi" w:eastAsiaTheme="minorEastAsia" w:hAnsiTheme="minorHAnsi" w:cstheme="minorBidi"/>
          <w:b w:val="0"/>
          <w:kern w:val="2"/>
          <w:sz w:val="24"/>
          <w14:ligatures w14:val="standardContextual"/>
        </w:rPr>
      </w:pPr>
      <w:hyperlink w:anchor="_Toc231161075" w:history="1">
        <w:r w:rsidRPr="00C91020">
          <w:rPr>
            <w:rStyle w:val="Hiperhivatkozs"/>
          </w:rPr>
          <w:t>3.</w:t>
        </w:r>
        <w:r>
          <w:rPr>
            <w:rFonts w:asciiTheme="minorHAnsi" w:eastAsiaTheme="minorEastAsia" w:hAnsiTheme="minorHAnsi" w:cstheme="minorBidi"/>
            <w:b w:val="0"/>
            <w:kern w:val="2"/>
            <w:sz w:val="24"/>
            <w14:ligatures w14:val="standardContextual"/>
          </w:rPr>
          <w:tab/>
        </w:r>
        <w:r w:rsidRPr="00C91020">
          <w:rPr>
            <w:rStyle w:val="Hiperhivatkozs"/>
          </w:rPr>
          <w:t>Lokális klímavédelem és technológiai illeszkedés az engedélyezési eljárásban</w:t>
        </w:r>
        <w:r>
          <w:rPr>
            <w:webHidden/>
          </w:rPr>
          <w:tab/>
        </w:r>
        <w:r>
          <w:rPr>
            <w:webHidden/>
          </w:rPr>
          <w:fldChar w:fldCharType="begin"/>
        </w:r>
        <w:r>
          <w:rPr>
            <w:webHidden/>
          </w:rPr>
          <w:instrText xml:space="preserve"> PAGEREF _Toc231161075 \h </w:instrText>
        </w:r>
        <w:r>
          <w:rPr>
            <w:webHidden/>
          </w:rPr>
        </w:r>
        <w:r>
          <w:rPr>
            <w:webHidden/>
          </w:rPr>
          <w:fldChar w:fldCharType="separate"/>
        </w:r>
        <w:r>
          <w:rPr>
            <w:webHidden/>
          </w:rPr>
          <w:t>8</w:t>
        </w:r>
        <w:r>
          <w:rPr>
            <w:webHidden/>
          </w:rPr>
          <w:fldChar w:fldCharType="end"/>
        </w:r>
      </w:hyperlink>
    </w:p>
    <w:p w14:paraId="0773DACF" w14:textId="609B09FA" w:rsidR="00040813" w:rsidRDefault="00040813">
      <w:pPr>
        <w:pStyle w:val="TJ1"/>
        <w:rPr>
          <w:rFonts w:asciiTheme="minorHAnsi" w:eastAsiaTheme="minorEastAsia" w:hAnsiTheme="minorHAnsi" w:cstheme="minorBidi"/>
          <w:b w:val="0"/>
          <w:kern w:val="2"/>
          <w:sz w:val="24"/>
          <w14:ligatures w14:val="standardContextual"/>
        </w:rPr>
      </w:pPr>
      <w:hyperlink w:anchor="_Toc231161076" w:history="1">
        <w:r w:rsidRPr="00C91020">
          <w:rPr>
            <w:rStyle w:val="Hiperhivatkozs"/>
          </w:rPr>
          <w:t>4.</w:t>
        </w:r>
        <w:r>
          <w:rPr>
            <w:rFonts w:asciiTheme="minorHAnsi" w:eastAsiaTheme="minorEastAsia" w:hAnsiTheme="minorHAnsi" w:cstheme="minorBidi"/>
            <w:b w:val="0"/>
            <w:kern w:val="2"/>
            <w:sz w:val="24"/>
            <w14:ligatures w14:val="standardContextual"/>
          </w:rPr>
          <w:tab/>
        </w:r>
        <w:r w:rsidRPr="00C91020">
          <w:rPr>
            <w:rStyle w:val="Hiperhivatkozs"/>
          </w:rPr>
          <w:t>A telephely energetikai és gépészeti rendszereinek klímavédelmi lehatárolása</w:t>
        </w:r>
        <w:r>
          <w:rPr>
            <w:webHidden/>
          </w:rPr>
          <w:tab/>
        </w:r>
        <w:r>
          <w:rPr>
            <w:webHidden/>
          </w:rPr>
          <w:fldChar w:fldCharType="begin"/>
        </w:r>
        <w:r>
          <w:rPr>
            <w:webHidden/>
          </w:rPr>
          <w:instrText xml:space="preserve"> PAGEREF _Toc231161076 \h </w:instrText>
        </w:r>
        <w:r>
          <w:rPr>
            <w:webHidden/>
          </w:rPr>
        </w:r>
        <w:r>
          <w:rPr>
            <w:webHidden/>
          </w:rPr>
          <w:fldChar w:fldCharType="separate"/>
        </w:r>
        <w:r>
          <w:rPr>
            <w:webHidden/>
          </w:rPr>
          <w:t>8</w:t>
        </w:r>
        <w:r>
          <w:rPr>
            <w:webHidden/>
          </w:rPr>
          <w:fldChar w:fldCharType="end"/>
        </w:r>
      </w:hyperlink>
    </w:p>
    <w:p w14:paraId="029DDC98" w14:textId="7B10E189" w:rsidR="00040813" w:rsidRDefault="00040813">
      <w:pPr>
        <w:pStyle w:val="TJ2"/>
        <w:tabs>
          <w:tab w:val="left" w:pos="960"/>
          <w:tab w:val="right" w:leader="dot" w:pos="9060"/>
        </w:tabs>
        <w:rPr>
          <w:rFonts w:asciiTheme="minorHAnsi" w:eastAsiaTheme="minorEastAsia" w:hAnsiTheme="minorHAnsi" w:cstheme="minorBidi"/>
          <w:noProof/>
          <w:kern w:val="2"/>
          <w14:ligatures w14:val="standardContextual"/>
        </w:rPr>
      </w:pPr>
      <w:hyperlink w:anchor="_Toc231161077" w:history="1">
        <w:r w:rsidRPr="00C91020">
          <w:rPr>
            <w:rStyle w:val="Hiperhivatkozs"/>
            <w:noProof/>
          </w:rPr>
          <w:t>4.1.</w:t>
        </w:r>
        <w:r>
          <w:rPr>
            <w:rFonts w:asciiTheme="minorHAnsi" w:eastAsiaTheme="minorEastAsia" w:hAnsiTheme="minorHAnsi" w:cstheme="minorBidi"/>
            <w:noProof/>
            <w:kern w:val="2"/>
            <w14:ligatures w14:val="standardContextual"/>
          </w:rPr>
          <w:tab/>
        </w:r>
        <w:r w:rsidRPr="00C91020">
          <w:rPr>
            <w:rStyle w:val="Hiperhivatkozs"/>
            <w:noProof/>
          </w:rPr>
          <w:t>Az istállótechnológia állandó villamosenergia-fogyasztói</w:t>
        </w:r>
        <w:r>
          <w:rPr>
            <w:noProof/>
            <w:webHidden/>
          </w:rPr>
          <w:tab/>
        </w:r>
        <w:r>
          <w:rPr>
            <w:noProof/>
            <w:webHidden/>
          </w:rPr>
          <w:fldChar w:fldCharType="begin"/>
        </w:r>
        <w:r>
          <w:rPr>
            <w:noProof/>
            <w:webHidden/>
          </w:rPr>
          <w:instrText xml:space="preserve"> PAGEREF _Toc231161077 \h </w:instrText>
        </w:r>
        <w:r>
          <w:rPr>
            <w:noProof/>
            <w:webHidden/>
          </w:rPr>
        </w:r>
        <w:r>
          <w:rPr>
            <w:noProof/>
            <w:webHidden/>
          </w:rPr>
          <w:fldChar w:fldCharType="separate"/>
        </w:r>
        <w:r>
          <w:rPr>
            <w:noProof/>
            <w:webHidden/>
          </w:rPr>
          <w:t>8</w:t>
        </w:r>
        <w:r>
          <w:rPr>
            <w:noProof/>
            <w:webHidden/>
          </w:rPr>
          <w:fldChar w:fldCharType="end"/>
        </w:r>
      </w:hyperlink>
    </w:p>
    <w:p w14:paraId="7D2458D4" w14:textId="671826FF"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078" w:history="1">
        <w:r w:rsidRPr="00C91020">
          <w:rPr>
            <w:rStyle w:val="Hiperhivatkozs"/>
            <w:noProof/>
          </w:rPr>
          <w:t>4.1.1.</w:t>
        </w:r>
        <w:r>
          <w:rPr>
            <w:rFonts w:asciiTheme="minorHAnsi" w:eastAsiaTheme="minorEastAsia" w:hAnsiTheme="minorHAnsi" w:cstheme="minorBidi"/>
            <w:noProof/>
            <w:kern w:val="2"/>
            <w14:ligatures w14:val="standardContextual"/>
          </w:rPr>
          <w:tab/>
        </w:r>
        <w:r w:rsidRPr="00C91020">
          <w:rPr>
            <w:rStyle w:val="Hiperhivatkozs"/>
            <w:noProof/>
          </w:rPr>
          <w:t>Légtechnika: Big Dutchman CL-600 elszívó kürtők és FF063-6DT/FF-63-6ET ventilátorok rendszere</w:t>
        </w:r>
        <w:r>
          <w:rPr>
            <w:noProof/>
            <w:webHidden/>
          </w:rPr>
          <w:tab/>
        </w:r>
        <w:r>
          <w:rPr>
            <w:noProof/>
            <w:webHidden/>
          </w:rPr>
          <w:fldChar w:fldCharType="begin"/>
        </w:r>
        <w:r>
          <w:rPr>
            <w:noProof/>
            <w:webHidden/>
          </w:rPr>
          <w:instrText xml:space="preserve"> PAGEREF _Toc231161078 \h </w:instrText>
        </w:r>
        <w:r>
          <w:rPr>
            <w:noProof/>
            <w:webHidden/>
          </w:rPr>
        </w:r>
        <w:r>
          <w:rPr>
            <w:noProof/>
            <w:webHidden/>
          </w:rPr>
          <w:fldChar w:fldCharType="separate"/>
        </w:r>
        <w:r>
          <w:rPr>
            <w:noProof/>
            <w:webHidden/>
          </w:rPr>
          <w:t>9</w:t>
        </w:r>
        <w:r>
          <w:rPr>
            <w:noProof/>
            <w:webHidden/>
          </w:rPr>
          <w:fldChar w:fldCharType="end"/>
        </w:r>
      </w:hyperlink>
    </w:p>
    <w:p w14:paraId="7670C443" w14:textId="3379C430"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079" w:history="1">
        <w:r w:rsidRPr="00C91020">
          <w:rPr>
            <w:rStyle w:val="Hiperhivatkozs"/>
            <w:noProof/>
          </w:rPr>
          <w:t>4.1.2.</w:t>
        </w:r>
        <w:r>
          <w:rPr>
            <w:rFonts w:asciiTheme="minorHAnsi" w:eastAsiaTheme="minorEastAsia" w:hAnsiTheme="minorHAnsi" w:cstheme="minorBidi"/>
            <w:noProof/>
            <w:kern w:val="2"/>
            <w14:ligatures w14:val="standardContextual"/>
          </w:rPr>
          <w:tab/>
        </w:r>
        <w:r w:rsidRPr="00C91020">
          <w:rPr>
            <w:rStyle w:val="Hiperhivatkozs"/>
            <w:noProof/>
          </w:rPr>
          <w:t>Takarmányozás és itatás: Automata csővezetékek és szelepes rendszerek villamos hajtásai</w:t>
        </w:r>
        <w:r>
          <w:rPr>
            <w:noProof/>
            <w:webHidden/>
          </w:rPr>
          <w:tab/>
        </w:r>
        <w:r>
          <w:rPr>
            <w:noProof/>
            <w:webHidden/>
          </w:rPr>
          <w:fldChar w:fldCharType="begin"/>
        </w:r>
        <w:r>
          <w:rPr>
            <w:noProof/>
            <w:webHidden/>
          </w:rPr>
          <w:instrText xml:space="preserve"> PAGEREF _Toc231161079 \h </w:instrText>
        </w:r>
        <w:r>
          <w:rPr>
            <w:noProof/>
            <w:webHidden/>
          </w:rPr>
        </w:r>
        <w:r>
          <w:rPr>
            <w:noProof/>
            <w:webHidden/>
          </w:rPr>
          <w:fldChar w:fldCharType="separate"/>
        </w:r>
        <w:r>
          <w:rPr>
            <w:noProof/>
            <w:webHidden/>
          </w:rPr>
          <w:t>9</w:t>
        </w:r>
        <w:r>
          <w:rPr>
            <w:noProof/>
            <w:webHidden/>
          </w:rPr>
          <w:fldChar w:fldCharType="end"/>
        </w:r>
      </w:hyperlink>
    </w:p>
    <w:p w14:paraId="5F2629DC" w14:textId="76B23F93" w:rsidR="00040813" w:rsidRDefault="00040813">
      <w:pPr>
        <w:pStyle w:val="TJ2"/>
        <w:tabs>
          <w:tab w:val="left" w:pos="960"/>
          <w:tab w:val="right" w:leader="dot" w:pos="9060"/>
        </w:tabs>
        <w:rPr>
          <w:rFonts w:asciiTheme="minorHAnsi" w:eastAsiaTheme="minorEastAsia" w:hAnsiTheme="minorHAnsi" w:cstheme="minorBidi"/>
          <w:noProof/>
          <w:kern w:val="2"/>
          <w14:ligatures w14:val="standardContextual"/>
        </w:rPr>
      </w:pPr>
      <w:hyperlink w:anchor="_Toc231161080" w:history="1">
        <w:r w:rsidRPr="00C91020">
          <w:rPr>
            <w:rStyle w:val="Hiperhivatkozs"/>
            <w:noProof/>
          </w:rPr>
          <w:t>4.2.</w:t>
        </w:r>
        <w:r>
          <w:rPr>
            <w:rFonts w:asciiTheme="minorHAnsi" w:eastAsiaTheme="minorEastAsia" w:hAnsiTheme="minorHAnsi" w:cstheme="minorBidi"/>
            <w:noProof/>
            <w:kern w:val="2"/>
            <w14:ligatures w14:val="standardContextual"/>
          </w:rPr>
          <w:tab/>
        </w:r>
        <w:r w:rsidRPr="00C91020">
          <w:rPr>
            <w:rStyle w:val="Hiperhivatkozs"/>
            <w:noProof/>
          </w:rPr>
          <w:t>Épületklimatizálási és szociális rendszerek energiaellátása</w:t>
        </w:r>
        <w:r>
          <w:rPr>
            <w:noProof/>
            <w:webHidden/>
          </w:rPr>
          <w:tab/>
        </w:r>
        <w:r>
          <w:rPr>
            <w:noProof/>
            <w:webHidden/>
          </w:rPr>
          <w:fldChar w:fldCharType="begin"/>
        </w:r>
        <w:r>
          <w:rPr>
            <w:noProof/>
            <w:webHidden/>
          </w:rPr>
          <w:instrText xml:space="preserve"> PAGEREF _Toc231161080 \h </w:instrText>
        </w:r>
        <w:r>
          <w:rPr>
            <w:noProof/>
            <w:webHidden/>
          </w:rPr>
        </w:r>
        <w:r>
          <w:rPr>
            <w:noProof/>
            <w:webHidden/>
          </w:rPr>
          <w:fldChar w:fldCharType="separate"/>
        </w:r>
        <w:r>
          <w:rPr>
            <w:noProof/>
            <w:webHidden/>
          </w:rPr>
          <w:t>10</w:t>
        </w:r>
        <w:r>
          <w:rPr>
            <w:noProof/>
            <w:webHidden/>
          </w:rPr>
          <w:fldChar w:fldCharType="end"/>
        </w:r>
      </w:hyperlink>
    </w:p>
    <w:p w14:paraId="5620CFF0" w14:textId="74C5B4FB"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081" w:history="1">
        <w:r w:rsidRPr="00C91020">
          <w:rPr>
            <w:rStyle w:val="Hiperhivatkozs"/>
            <w:noProof/>
          </w:rPr>
          <w:t>4.2.1.</w:t>
        </w:r>
        <w:r>
          <w:rPr>
            <w:rFonts w:asciiTheme="minorHAnsi" w:eastAsiaTheme="minorEastAsia" w:hAnsiTheme="minorHAnsi" w:cstheme="minorBidi"/>
            <w:noProof/>
            <w:kern w:val="2"/>
            <w14:ligatures w14:val="standardContextual"/>
          </w:rPr>
          <w:tab/>
        </w:r>
        <w:r w:rsidRPr="00C91020">
          <w:rPr>
            <w:rStyle w:val="Hiperhivatkozs"/>
            <w:noProof/>
          </w:rPr>
          <w:t>A szociális épület hűtő-fűtő klímaberendezései és elektromos HMV-bojlerei</w:t>
        </w:r>
        <w:r>
          <w:rPr>
            <w:noProof/>
            <w:webHidden/>
          </w:rPr>
          <w:tab/>
        </w:r>
        <w:r>
          <w:rPr>
            <w:noProof/>
            <w:webHidden/>
          </w:rPr>
          <w:fldChar w:fldCharType="begin"/>
        </w:r>
        <w:r>
          <w:rPr>
            <w:noProof/>
            <w:webHidden/>
          </w:rPr>
          <w:instrText xml:space="preserve"> PAGEREF _Toc231161081 \h </w:instrText>
        </w:r>
        <w:r>
          <w:rPr>
            <w:noProof/>
            <w:webHidden/>
          </w:rPr>
        </w:r>
        <w:r>
          <w:rPr>
            <w:noProof/>
            <w:webHidden/>
          </w:rPr>
          <w:fldChar w:fldCharType="separate"/>
        </w:r>
        <w:r>
          <w:rPr>
            <w:noProof/>
            <w:webHidden/>
          </w:rPr>
          <w:t>10</w:t>
        </w:r>
        <w:r>
          <w:rPr>
            <w:noProof/>
            <w:webHidden/>
          </w:rPr>
          <w:fldChar w:fldCharType="end"/>
        </w:r>
      </w:hyperlink>
    </w:p>
    <w:p w14:paraId="43D5FD0F" w14:textId="712D21CF"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082" w:history="1">
        <w:r w:rsidRPr="00C91020">
          <w:rPr>
            <w:rStyle w:val="Hiperhivatkozs"/>
            <w:noProof/>
          </w:rPr>
          <w:t>4.2.2.</w:t>
        </w:r>
        <w:r>
          <w:rPr>
            <w:rFonts w:asciiTheme="minorHAnsi" w:eastAsiaTheme="minorEastAsia" w:hAnsiTheme="minorHAnsi" w:cstheme="minorBidi"/>
            <w:noProof/>
            <w:kern w:val="2"/>
            <w14:ligatures w14:val="standardContextual"/>
          </w:rPr>
          <w:tab/>
        </w:r>
        <w:r w:rsidRPr="00C91020">
          <w:rPr>
            <w:rStyle w:val="Hiperhivatkozs"/>
            <w:noProof/>
          </w:rPr>
          <w:t>A hullatároló és boncoló konténer (Euratainer / Mobilbox MR20) időszakos elektromos hűtése-fűtése</w:t>
        </w:r>
        <w:r>
          <w:rPr>
            <w:noProof/>
            <w:webHidden/>
          </w:rPr>
          <w:tab/>
        </w:r>
        <w:r>
          <w:rPr>
            <w:noProof/>
            <w:webHidden/>
          </w:rPr>
          <w:fldChar w:fldCharType="begin"/>
        </w:r>
        <w:r>
          <w:rPr>
            <w:noProof/>
            <w:webHidden/>
          </w:rPr>
          <w:instrText xml:space="preserve"> PAGEREF _Toc231161082 \h </w:instrText>
        </w:r>
        <w:r>
          <w:rPr>
            <w:noProof/>
            <w:webHidden/>
          </w:rPr>
        </w:r>
        <w:r>
          <w:rPr>
            <w:noProof/>
            <w:webHidden/>
          </w:rPr>
          <w:fldChar w:fldCharType="separate"/>
        </w:r>
        <w:r>
          <w:rPr>
            <w:noProof/>
            <w:webHidden/>
          </w:rPr>
          <w:t>10</w:t>
        </w:r>
        <w:r>
          <w:rPr>
            <w:noProof/>
            <w:webHidden/>
          </w:rPr>
          <w:fldChar w:fldCharType="end"/>
        </w:r>
      </w:hyperlink>
    </w:p>
    <w:p w14:paraId="0359FE3F" w14:textId="4EF4A321"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083" w:history="1">
        <w:r w:rsidRPr="00C91020">
          <w:rPr>
            <w:rStyle w:val="Hiperhivatkozs"/>
            <w:noProof/>
          </w:rPr>
          <w:t>4.2.3.</w:t>
        </w:r>
        <w:r>
          <w:rPr>
            <w:rFonts w:asciiTheme="minorHAnsi" w:eastAsiaTheme="minorEastAsia" w:hAnsiTheme="minorHAnsi" w:cstheme="minorBidi"/>
            <w:noProof/>
            <w:kern w:val="2"/>
            <w14:ligatures w14:val="standardContextual"/>
          </w:rPr>
          <w:tab/>
        </w:r>
        <w:r w:rsidRPr="00C91020">
          <w:rPr>
            <w:rStyle w:val="Hiperhivatkozs"/>
            <w:noProof/>
          </w:rPr>
          <w:t>Konténeres kútvízkezelő rendszer és nyomásfokozók villamosigénye</w:t>
        </w:r>
        <w:r>
          <w:rPr>
            <w:noProof/>
            <w:webHidden/>
          </w:rPr>
          <w:tab/>
        </w:r>
        <w:r>
          <w:rPr>
            <w:noProof/>
            <w:webHidden/>
          </w:rPr>
          <w:fldChar w:fldCharType="begin"/>
        </w:r>
        <w:r>
          <w:rPr>
            <w:noProof/>
            <w:webHidden/>
          </w:rPr>
          <w:instrText xml:space="preserve"> PAGEREF _Toc231161083 \h </w:instrText>
        </w:r>
        <w:r>
          <w:rPr>
            <w:noProof/>
            <w:webHidden/>
          </w:rPr>
        </w:r>
        <w:r>
          <w:rPr>
            <w:noProof/>
            <w:webHidden/>
          </w:rPr>
          <w:fldChar w:fldCharType="separate"/>
        </w:r>
        <w:r>
          <w:rPr>
            <w:noProof/>
            <w:webHidden/>
          </w:rPr>
          <w:t>11</w:t>
        </w:r>
        <w:r>
          <w:rPr>
            <w:noProof/>
            <w:webHidden/>
          </w:rPr>
          <w:fldChar w:fldCharType="end"/>
        </w:r>
      </w:hyperlink>
    </w:p>
    <w:p w14:paraId="2E7B698A" w14:textId="4BA656E5" w:rsidR="00040813" w:rsidRDefault="00040813">
      <w:pPr>
        <w:pStyle w:val="TJ2"/>
        <w:tabs>
          <w:tab w:val="left" w:pos="960"/>
          <w:tab w:val="right" w:leader="dot" w:pos="9060"/>
        </w:tabs>
        <w:rPr>
          <w:rFonts w:asciiTheme="minorHAnsi" w:eastAsiaTheme="minorEastAsia" w:hAnsiTheme="minorHAnsi" w:cstheme="minorBidi"/>
          <w:noProof/>
          <w:kern w:val="2"/>
          <w14:ligatures w14:val="standardContextual"/>
        </w:rPr>
      </w:pPr>
      <w:hyperlink w:anchor="_Toc231161084" w:history="1">
        <w:r w:rsidRPr="00C91020">
          <w:rPr>
            <w:rStyle w:val="Hiperhivatkozs"/>
            <w:noProof/>
          </w:rPr>
          <w:t>4.3.</w:t>
        </w:r>
        <w:r>
          <w:rPr>
            <w:rFonts w:asciiTheme="minorHAnsi" w:eastAsiaTheme="minorEastAsia" w:hAnsiTheme="minorHAnsi" w:cstheme="minorBidi"/>
            <w:noProof/>
            <w:kern w:val="2"/>
            <w14:ligatures w14:val="standardContextual"/>
          </w:rPr>
          <w:tab/>
        </w:r>
        <w:r w:rsidRPr="00C91020">
          <w:rPr>
            <w:rStyle w:val="Hiperhivatkozs"/>
            <w:noProof/>
          </w:rPr>
          <w:t>Időszakos, szakaszos és vészhelyzeti rendszerek lehatárolása</w:t>
        </w:r>
        <w:r>
          <w:rPr>
            <w:noProof/>
            <w:webHidden/>
          </w:rPr>
          <w:tab/>
        </w:r>
        <w:r>
          <w:rPr>
            <w:noProof/>
            <w:webHidden/>
          </w:rPr>
          <w:fldChar w:fldCharType="begin"/>
        </w:r>
        <w:r>
          <w:rPr>
            <w:noProof/>
            <w:webHidden/>
          </w:rPr>
          <w:instrText xml:space="preserve"> PAGEREF _Toc231161084 \h </w:instrText>
        </w:r>
        <w:r>
          <w:rPr>
            <w:noProof/>
            <w:webHidden/>
          </w:rPr>
        </w:r>
        <w:r>
          <w:rPr>
            <w:noProof/>
            <w:webHidden/>
          </w:rPr>
          <w:fldChar w:fldCharType="separate"/>
        </w:r>
        <w:r>
          <w:rPr>
            <w:noProof/>
            <w:webHidden/>
          </w:rPr>
          <w:t>11</w:t>
        </w:r>
        <w:r>
          <w:rPr>
            <w:noProof/>
            <w:webHidden/>
          </w:rPr>
          <w:fldChar w:fldCharType="end"/>
        </w:r>
      </w:hyperlink>
    </w:p>
    <w:p w14:paraId="4F8CA4E1" w14:textId="597EE002"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085" w:history="1">
        <w:r w:rsidRPr="00C91020">
          <w:rPr>
            <w:rStyle w:val="Hiperhivatkozs"/>
            <w:noProof/>
          </w:rPr>
          <w:t>4.3.1.</w:t>
        </w:r>
        <w:r>
          <w:rPr>
            <w:rFonts w:asciiTheme="minorHAnsi" w:eastAsiaTheme="minorEastAsia" w:hAnsiTheme="minorHAnsi" w:cstheme="minorBidi"/>
            <w:noProof/>
            <w:kern w:val="2"/>
            <w14:ligatures w14:val="standardContextual"/>
          </w:rPr>
          <w:tab/>
        </w:r>
        <w:r w:rsidRPr="00C91020">
          <w:rPr>
            <w:rStyle w:val="Hiperhivatkozs"/>
            <w:noProof/>
          </w:rPr>
          <w:t>Telepítési fázisok és turnusok közötti temperáló fűtés egyedi hőlégfúvókkal</w:t>
        </w:r>
        <w:r>
          <w:rPr>
            <w:noProof/>
            <w:webHidden/>
          </w:rPr>
          <w:tab/>
        </w:r>
        <w:r>
          <w:rPr>
            <w:noProof/>
            <w:webHidden/>
          </w:rPr>
          <w:fldChar w:fldCharType="begin"/>
        </w:r>
        <w:r>
          <w:rPr>
            <w:noProof/>
            <w:webHidden/>
          </w:rPr>
          <w:instrText xml:space="preserve"> PAGEREF _Toc231161085 \h </w:instrText>
        </w:r>
        <w:r>
          <w:rPr>
            <w:noProof/>
            <w:webHidden/>
          </w:rPr>
        </w:r>
        <w:r>
          <w:rPr>
            <w:noProof/>
            <w:webHidden/>
          </w:rPr>
          <w:fldChar w:fldCharType="separate"/>
        </w:r>
        <w:r>
          <w:rPr>
            <w:noProof/>
            <w:webHidden/>
          </w:rPr>
          <w:t>11</w:t>
        </w:r>
        <w:r>
          <w:rPr>
            <w:noProof/>
            <w:webHidden/>
          </w:rPr>
          <w:fldChar w:fldCharType="end"/>
        </w:r>
      </w:hyperlink>
    </w:p>
    <w:p w14:paraId="619E2C18" w14:textId="72C4B7C2"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086" w:history="1">
        <w:r w:rsidRPr="00C91020">
          <w:rPr>
            <w:rStyle w:val="Hiperhivatkozs"/>
            <w:noProof/>
          </w:rPr>
          <w:t>4.3.2.</w:t>
        </w:r>
        <w:r>
          <w:rPr>
            <w:rFonts w:asciiTheme="minorHAnsi" w:eastAsiaTheme="minorEastAsia" w:hAnsiTheme="minorHAnsi" w:cstheme="minorBidi"/>
            <w:noProof/>
            <w:kern w:val="2"/>
            <w14:ligatures w14:val="standardContextual"/>
          </w:rPr>
          <w:tab/>
        </w:r>
        <w:r w:rsidRPr="00C91020">
          <w:rPr>
            <w:rStyle w:val="Hiperhivatkozs"/>
            <w:noProof/>
          </w:rPr>
          <w:t>P1 pontforrás: A biztonsági szükségáramforrás dízelaggregátor biztonsági üzeme</w:t>
        </w:r>
        <w:r>
          <w:rPr>
            <w:noProof/>
            <w:webHidden/>
          </w:rPr>
          <w:tab/>
        </w:r>
        <w:r>
          <w:rPr>
            <w:noProof/>
            <w:webHidden/>
          </w:rPr>
          <w:fldChar w:fldCharType="begin"/>
        </w:r>
        <w:r>
          <w:rPr>
            <w:noProof/>
            <w:webHidden/>
          </w:rPr>
          <w:instrText xml:space="preserve"> PAGEREF _Toc231161086 \h </w:instrText>
        </w:r>
        <w:r>
          <w:rPr>
            <w:noProof/>
            <w:webHidden/>
          </w:rPr>
        </w:r>
        <w:r>
          <w:rPr>
            <w:noProof/>
            <w:webHidden/>
          </w:rPr>
          <w:fldChar w:fldCharType="separate"/>
        </w:r>
        <w:r>
          <w:rPr>
            <w:noProof/>
            <w:webHidden/>
          </w:rPr>
          <w:t>12</w:t>
        </w:r>
        <w:r>
          <w:rPr>
            <w:noProof/>
            <w:webHidden/>
          </w:rPr>
          <w:fldChar w:fldCharType="end"/>
        </w:r>
      </w:hyperlink>
    </w:p>
    <w:p w14:paraId="0C0E8531" w14:textId="17C4284E"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087" w:history="1">
        <w:r w:rsidRPr="00C91020">
          <w:rPr>
            <w:rStyle w:val="Hiperhivatkozs"/>
            <w:noProof/>
          </w:rPr>
          <w:t>4.3.3.</w:t>
        </w:r>
        <w:r>
          <w:rPr>
            <w:rFonts w:asciiTheme="minorHAnsi" w:eastAsiaTheme="minorEastAsia" w:hAnsiTheme="minorHAnsi" w:cstheme="minorBidi"/>
            <w:noProof/>
            <w:kern w:val="2"/>
            <w14:ligatures w14:val="standardContextual"/>
          </w:rPr>
          <w:tab/>
        </w:r>
        <w:r w:rsidRPr="00C91020">
          <w:rPr>
            <w:rStyle w:val="Hiperhivatkozs"/>
            <w:noProof/>
          </w:rPr>
          <w:t>P2 pontforrás: Bentley 1000 AIS 064 Cyclone elhullottállat-égető üzemeltetése</w:t>
        </w:r>
        <w:r>
          <w:rPr>
            <w:noProof/>
            <w:webHidden/>
          </w:rPr>
          <w:tab/>
        </w:r>
        <w:r>
          <w:rPr>
            <w:noProof/>
            <w:webHidden/>
          </w:rPr>
          <w:fldChar w:fldCharType="begin"/>
        </w:r>
        <w:r>
          <w:rPr>
            <w:noProof/>
            <w:webHidden/>
          </w:rPr>
          <w:instrText xml:space="preserve"> PAGEREF _Toc231161087 \h </w:instrText>
        </w:r>
        <w:r>
          <w:rPr>
            <w:noProof/>
            <w:webHidden/>
          </w:rPr>
        </w:r>
        <w:r>
          <w:rPr>
            <w:noProof/>
            <w:webHidden/>
          </w:rPr>
          <w:fldChar w:fldCharType="separate"/>
        </w:r>
        <w:r>
          <w:rPr>
            <w:noProof/>
            <w:webHidden/>
          </w:rPr>
          <w:t>12</w:t>
        </w:r>
        <w:r>
          <w:rPr>
            <w:noProof/>
            <w:webHidden/>
          </w:rPr>
          <w:fldChar w:fldCharType="end"/>
        </w:r>
      </w:hyperlink>
    </w:p>
    <w:p w14:paraId="24184E91" w14:textId="68AC2989"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088" w:history="1">
        <w:r w:rsidRPr="00C91020">
          <w:rPr>
            <w:rStyle w:val="Hiperhivatkozs"/>
            <w:noProof/>
          </w:rPr>
          <w:t>4.3.4.</w:t>
        </w:r>
        <w:r>
          <w:rPr>
            <w:rFonts w:asciiTheme="minorHAnsi" w:eastAsiaTheme="minorEastAsia" w:hAnsiTheme="minorHAnsi" w:cstheme="minorBidi"/>
            <w:noProof/>
            <w:kern w:val="2"/>
            <w14:ligatures w14:val="standardContextual"/>
          </w:rPr>
          <w:tab/>
        </w:r>
        <w:r w:rsidRPr="00C91020">
          <w:rPr>
            <w:rStyle w:val="Hiperhivatkozs"/>
            <w:noProof/>
          </w:rPr>
          <w:t>Trágyakezelés: BAUER MSXH 15 búvármotoros hígtrágyakeverők szakaszos, időkapcsolt üzemelése</w:t>
        </w:r>
        <w:r>
          <w:rPr>
            <w:noProof/>
            <w:webHidden/>
          </w:rPr>
          <w:tab/>
        </w:r>
        <w:r>
          <w:rPr>
            <w:noProof/>
            <w:webHidden/>
          </w:rPr>
          <w:fldChar w:fldCharType="begin"/>
        </w:r>
        <w:r>
          <w:rPr>
            <w:noProof/>
            <w:webHidden/>
          </w:rPr>
          <w:instrText xml:space="preserve"> PAGEREF _Toc231161088 \h </w:instrText>
        </w:r>
        <w:r>
          <w:rPr>
            <w:noProof/>
            <w:webHidden/>
          </w:rPr>
        </w:r>
        <w:r>
          <w:rPr>
            <w:noProof/>
            <w:webHidden/>
          </w:rPr>
          <w:fldChar w:fldCharType="separate"/>
        </w:r>
        <w:r>
          <w:rPr>
            <w:noProof/>
            <w:webHidden/>
          </w:rPr>
          <w:t>13</w:t>
        </w:r>
        <w:r>
          <w:rPr>
            <w:noProof/>
            <w:webHidden/>
          </w:rPr>
          <w:fldChar w:fldCharType="end"/>
        </w:r>
      </w:hyperlink>
    </w:p>
    <w:p w14:paraId="538AD921" w14:textId="50292625" w:rsidR="00040813" w:rsidRDefault="00040813">
      <w:pPr>
        <w:pStyle w:val="TJ2"/>
        <w:tabs>
          <w:tab w:val="left" w:pos="960"/>
          <w:tab w:val="right" w:leader="dot" w:pos="9060"/>
        </w:tabs>
        <w:rPr>
          <w:rFonts w:asciiTheme="minorHAnsi" w:eastAsiaTheme="minorEastAsia" w:hAnsiTheme="minorHAnsi" w:cstheme="minorBidi"/>
          <w:noProof/>
          <w:kern w:val="2"/>
          <w14:ligatures w14:val="standardContextual"/>
        </w:rPr>
      </w:pPr>
      <w:hyperlink w:anchor="_Toc231161089" w:history="1">
        <w:r w:rsidRPr="00C91020">
          <w:rPr>
            <w:rStyle w:val="Hiperhivatkozs"/>
            <w:rFonts w:ascii="Times New Roman" w:hAnsi="Times New Roman" w:cs="Times New Roman"/>
            <w:noProof/>
          </w:rPr>
          <w:t>4.4.</w:t>
        </w:r>
        <w:r>
          <w:rPr>
            <w:rFonts w:asciiTheme="minorHAnsi" w:eastAsiaTheme="minorEastAsia" w:hAnsiTheme="minorHAnsi" w:cstheme="minorBidi"/>
            <w:noProof/>
            <w:kern w:val="2"/>
            <w14:ligatures w14:val="standardContextual"/>
          </w:rPr>
          <w:tab/>
        </w:r>
        <w:r w:rsidRPr="00C91020">
          <w:rPr>
            <w:rStyle w:val="Hiperhivatkozs"/>
            <w:noProof/>
          </w:rPr>
          <w:t>Telephelyi belső anyagmozgatás gépészeti infrastruktúrája</w:t>
        </w:r>
        <w:r>
          <w:rPr>
            <w:noProof/>
            <w:webHidden/>
          </w:rPr>
          <w:tab/>
        </w:r>
        <w:r>
          <w:rPr>
            <w:noProof/>
            <w:webHidden/>
          </w:rPr>
          <w:fldChar w:fldCharType="begin"/>
        </w:r>
        <w:r>
          <w:rPr>
            <w:noProof/>
            <w:webHidden/>
          </w:rPr>
          <w:instrText xml:space="preserve"> PAGEREF _Toc231161089 \h </w:instrText>
        </w:r>
        <w:r>
          <w:rPr>
            <w:noProof/>
            <w:webHidden/>
          </w:rPr>
        </w:r>
        <w:r>
          <w:rPr>
            <w:noProof/>
            <w:webHidden/>
          </w:rPr>
          <w:fldChar w:fldCharType="separate"/>
        </w:r>
        <w:r>
          <w:rPr>
            <w:noProof/>
            <w:webHidden/>
          </w:rPr>
          <w:t>13</w:t>
        </w:r>
        <w:r>
          <w:rPr>
            <w:noProof/>
            <w:webHidden/>
          </w:rPr>
          <w:fldChar w:fldCharType="end"/>
        </w:r>
      </w:hyperlink>
    </w:p>
    <w:p w14:paraId="10B8B9A2" w14:textId="5ADB77E4"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090" w:history="1">
        <w:r w:rsidRPr="00C91020">
          <w:rPr>
            <w:rStyle w:val="Hiperhivatkozs"/>
            <w:noProof/>
          </w:rPr>
          <w:t>4.4.1.</w:t>
        </w:r>
        <w:r>
          <w:rPr>
            <w:rFonts w:asciiTheme="minorHAnsi" w:eastAsiaTheme="minorEastAsia" w:hAnsiTheme="minorHAnsi" w:cstheme="minorBidi"/>
            <w:noProof/>
            <w:kern w:val="2"/>
            <w14:ligatures w14:val="standardContextual"/>
          </w:rPr>
          <w:tab/>
        </w:r>
        <w:r w:rsidRPr="00C91020">
          <w:rPr>
            <w:rStyle w:val="Hiperhivatkozs"/>
            <w:noProof/>
          </w:rPr>
          <w:t>Alkalmazott erőgépek és funkcionális lehatárolásuk</w:t>
        </w:r>
        <w:r>
          <w:rPr>
            <w:noProof/>
            <w:webHidden/>
          </w:rPr>
          <w:tab/>
        </w:r>
        <w:r>
          <w:rPr>
            <w:noProof/>
            <w:webHidden/>
          </w:rPr>
          <w:fldChar w:fldCharType="begin"/>
        </w:r>
        <w:r>
          <w:rPr>
            <w:noProof/>
            <w:webHidden/>
          </w:rPr>
          <w:instrText xml:space="preserve"> PAGEREF _Toc231161090 \h </w:instrText>
        </w:r>
        <w:r>
          <w:rPr>
            <w:noProof/>
            <w:webHidden/>
          </w:rPr>
        </w:r>
        <w:r>
          <w:rPr>
            <w:noProof/>
            <w:webHidden/>
          </w:rPr>
          <w:fldChar w:fldCharType="separate"/>
        </w:r>
        <w:r>
          <w:rPr>
            <w:noProof/>
            <w:webHidden/>
          </w:rPr>
          <w:t>13</w:t>
        </w:r>
        <w:r>
          <w:rPr>
            <w:noProof/>
            <w:webHidden/>
          </w:rPr>
          <w:fldChar w:fldCharType="end"/>
        </w:r>
      </w:hyperlink>
    </w:p>
    <w:p w14:paraId="19B62BE2" w14:textId="1DDB7F54"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091" w:history="1">
        <w:r w:rsidRPr="00C91020">
          <w:rPr>
            <w:rStyle w:val="Hiperhivatkozs"/>
            <w:noProof/>
          </w:rPr>
          <w:t>4.4.2.</w:t>
        </w:r>
        <w:r>
          <w:rPr>
            <w:rFonts w:asciiTheme="minorHAnsi" w:eastAsiaTheme="minorEastAsia" w:hAnsiTheme="minorHAnsi" w:cstheme="minorBidi"/>
            <w:noProof/>
            <w:kern w:val="2"/>
            <w14:ligatures w14:val="standardContextual"/>
          </w:rPr>
          <w:tab/>
        </w:r>
        <w:r w:rsidRPr="00C91020">
          <w:rPr>
            <w:rStyle w:val="Hiperhivatkozs"/>
            <w:noProof/>
          </w:rPr>
          <w:t>Logisztikai útvonalak és klímavédelmi relevancia</w:t>
        </w:r>
        <w:r>
          <w:rPr>
            <w:noProof/>
            <w:webHidden/>
          </w:rPr>
          <w:tab/>
        </w:r>
        <w:r>
          <w:rPr>
            <w:noProof/>
            <w:webHidden/>
          </w:rPr>
          <w:fldChar w:fldCharType="begin"/>
        </w:r>
        <w:r>
          <w:rPr>
            <w:noProof/>
            <w:webHidden/>
          </w:rPr>
          <w:instrText xml:space="preserve"> PAGEREF _Toc231161091 \h </w:instrText>
        </w:r>
        <w:r>
          <w:rPr>
            <w:noProof/>
            <w:webHidden/>
          </w:rPr>
        </w:r>
        <w:r>
          <w:rPr>
            <w:noProof/>
            <w:webHidden/>
          </w:rPr>
          <w:fldChar w:fldCharType="separate"/>
        </w:r>
        <w:r>
          <w:rPr>
            <w:noProof/>
            <w:webHidden/>
          </w:rPr>
          <w:t>14</w:t>
        </w:r>
        <w:r>
          <w:rPr>
            <w:noProof/>
            <w:webHidden/>
          </w:rPr>
          <w:fldChar w:fldCharType="end"/>
        </w:r>
      </w:hyperlink>
    </w:p>
    <w:p w14:paraId="7CBE4122" w14:textId="74381399" w:rsidR="00040813" w:rsidRDefault="00040813">
      <w:pPr>
        <w:pStyle w:val="TJ1"/>
        <w:rPr>
          <w:rFonts w:asciiTheme="minorHAnsi" w:eastAsiaTheme="minorEastAsia" w:hAnsiTheme="minorHAnsi" w:cstheme="minorBidi"/>
          <w:b w:val="0"/>
          <w:kern w:val="2"/>
          <w:sz w:val="24"/>
          <w14:ligatures w14:val="standardContextual"/>
        </w:rPr>
      </w:pPr>
      <w:hyperlink w:anchor="_Toc231161092" w:history="1">
        <w:r w:rsidRPr="00C91020">
          <w:rPr>
            <w:rStyle w:val="Hiperhivatkozs"/>
          </w:rPr>
          <w:t>5.</w:t>
        </w:r>
        <w:r>
          <w:rPr>
            <w:rFonts w:asciiTheme="minorHAnsi" w:eastAsiaTheme="minorEastAsia" w:hAnsiTheme="minorHAnsi" w:cstheme="minorBidi"/>
            <w:b w:val="0"/>
            <w:kern w:val="2"/>
            <w:sz w:val="24"/>
            <w14:ligatures w14:val="standardContextual"/>
          </w:rPr>
          <w:tab/>
        </w:r>
        <w:r w:rsidRPr="00C91020">
          <w:rPr>
            <w:rStyle w:val="Hiperhivatkozs"/>
          </w:rPr>
          <w:t>A várható éves üvegházhatású gáz (ÜHG) kibocsátás számszerűsítése</w:t>
        </w:r>
        <w:r>
          <w:rPr>
            <w:webHidden/>
          </w:rPr>
          <w:tab/>
        </w:r>
        <w:r>
          <w:rPr>
            <w:webHidden/>
          </w:rPr>
          <w:fldChar w:fldCharType="begin"/>
        </w:r>
        <w:r>
          <w:rPr>
            <w:webHidden/>
          </w:rPr>
          <w:instrText xml:space="preserve"> PAGEREF _Toc231161092 \h </w:instrText>
        </w:r>
        <w:r>
          <w:rPr>
            <w:webHidden/>
          </w:rPr>
        </w:r>
        <w:r>
          <w:rPr>
            <w:webHidden/>
          </w:rPr>
          <w:fldChar w:fldCharType="separate"/>
        </w:r>
        <w:r>
          <w:rPr>
            <w:webHidden/>
          </w:rPr>
          <w:t>14</w:t>
        </w:r>
        <w:r>
          <w:rPr>
            <w:webHidden/>
          </w:rPr>
          <w:fldChar w:fldCharType="end"/>
        </w:r>
      </w:hyperlink>
    </w:p>
    <w:p w14:paraId="29D5B2DC" w14:textId="1BF8DCDC" w:rsidR="00040813" w:rsidRDefault="00040813">
      <w:pPr>
        <w:pStyle w:val="TJ2"/>
        <w:tabs>
          <w:tab w:val="left" w:pos="960"/>
          <w:tab w:val="right" w:leader="dot" w:pos="9060"/>
        </w:tabs>
        <w:rPr>
          <w:rFonts w:asciiTheme="minorHAnsi" w:eastAsiaTheme="minorEastAsia" w:hAnsiTheme="minorHAnsi" w:cstheme="minorBidi"/>
          <w:noProof/>
          <w:kern w:val="2"/>
          <w14:ligatures w14:val="standardContextual"/>
        </w:rPr>
      </w:pPr>
      <w:hyperlink w:anchor="_Toc231161093" w:history="1">
        <w:r w:rsidRPr="00C91020">
          <w:rPr>
            <w:rStyle w:val="Hiperhivatkozs"/>
            <w:noProof/>
          </w:rPr>
          <w:t>5.1.</w:t>
        </w:r>
        <w:r>
          <w:rPr>
            <w:rFonts w:asciiTheme="minorHAnsi" w:eastAsiaTheme="minorEastAsia" w:hAnsiTheme="minorHAnsi" w:cstheme="minorBidi"/>
            <w:noProof/>
            <w:kern w:val="2"/>
            <w14:ligatures w14:val="standardContextual"/>
          </w:rPr>
          <w:tab/>
        </w:r>
        <w:r w:rsidRPr="00C91020">
          <w:rPr>
            <w:rStyle w:val="Hiperhivatkozs"/>
            <w:noProof/>
          </w:rPr>
          <w:t>Biogén eredetű technológiai források (Scope 1 - Direct)</w:t>
        </w:r>
        <w:r>
          <w:rPr>
            <w:noProof/>
            <w:webHidden/>
          </w:rPr>
          <w:tab/>
        </w:r>
        <w:r>
          <w:rPr>
            <w:noProof/>
            <w:webHidden/>
          </w:rPr>
          <w:fldChar w:fldCharType="begin"/>
        </w:r>
        <w:r>
          <w:rPr>
            <w:noProof/>
            <w:webHidden/>
          </w:rPr>
          <w:instrText xml:space="preserve"> PAGEREF _Toc231161093 \h </w:instrText>
        </w:r>
        <w:r>
          <w:rPr>
            <w:noProof/>
            <w:webHidden/>
          </w:rPr>
        </w:r>
        <w:r>
          <w:rPr>
            <w:noProof/>
            <w:webHidden/>
          </w:rPr>
          <w:fldChar w:fldCharType="separate"/>
        </w:r>
        <w:r>
          <w:rPr>
            <w:noProof/>
            <w:webHidden/>
          </w:rPr>
          <w:t>14</w:t>
        </w:r>
        <w:r>
          <w:rPr>
            <w:noProof/>
            <w:webHidden/>
          </w:rPr>
          <w:fldChar w:fldCharType="end"/>
        </w:r>
      </w:hyperlink>
    </w:p>
    <w:p w14:paraId="063B5EFE" w14:textId="199AB690"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094" w:history="1">
        <w:r w:rsidRPr="00C91020">
          <w:rPr>
            <w:rStyle w:val="Hiperhivatkozs"/>
            <w:noProof/>
          </w:rPr>
          <w:t>5.1.1.</w:t>
        </w:r>
        <w:r>
          <w:rPr>
            <w:rFonts w:asciiTheme="minorHAnsi" w:eastAsiaTheme="minorEastAsia" w:hAnsiTheme="minorHAnsi" w:cstheme="minorBidi"/>
            <w:noProof/>
            <w:kern w:val="2"/>
            <w14:ligatures w14:val="standardContextual"/>
          </w:rPr>
          <w:tab/>
        </w:r>
        <w:r w:rsidRPr="00C91020">
          <w:rPr>
            <w:rStyle w:val="Hiperhivatkozs"/>
            <w:noProof/>
          </w:rPr>
          <w:t>Sertések enterális fermentációjából származó metán (CH</w:t>
        </w:r>
        <w:r w:rsidRPr="00C91020">
          <w:rPr>
            <w:rStyle w:val="Hiperhivatkozs"/>
            <w:noProof/>
            <w:vertAlign w:val="subscript"/>
          </w:rPr>
          <w:t>4</w:t>
        </w:r>
        <w:r w:rsidRPr="00C91020">
          <w:rPr>
            <w:rStyle w:val="Hiperhivatkozs"/>
            <w:noProof/>
          </w:rPr>
          <w:t>) kibocsátás</w:t>
        </w:r>
        <w:r>
          <w:rPr>
            <w:noProof/>
            <w:webHidden/>
          </w:rPr>
          <w:tab/>
        </w:r>
        <w:r>
          <w:rPr>
            <w:noProof/>
            <w:webHidden/>
          </w:rPr>
          <w:fldChar w:fldCharType="begin"/>
        </w:r>
        <w:r>
          <w:rPr>
            <w:noProof/>
            <w:webHidden/>
          </w:rPr>
          <w:instrText xml:space="preserve"> PAGEREF _Toc231161094 \h </w:instrText>
        </w:r>
        <w:r>
          <w:rPr>
            <w:noProof/>
            <w:webHidden/>
          </w:rPr>
        </w:r>
        <w:r>
          <w:rPr>
            <w:noProof/>
            <w:webHidden/>
          </w:rPr>
          <w:fldChar w:fldCharType="separate"/>
        </w:r>
        <w:r>
          <w:rPr>
            <w:noProof/>
            <w:webHidden/>
          </w:rPr>
          <w:t>15</w:t>
        </w:r>
        <w:r>
          <w:rPr>
            <w:noProof/>
            <w:webHidden/>
          </w:rPr>
          <w:fldChar w:fldCharType="end"/>
        </w:r>
      </w:hyperlink>
    </w:p>
    <w:p w14:paraId="2EB7EB2D" w14:textId="2A926176"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095" w:history="1">
        <w:r w:rsidRPr="00C91020">
          <w:rPr>
            <w:rStyle w:val="Hiperhivatkozs"/>
            <w:noProof/>
          </w:rPr>
          <w:t>5.1.2.</w:t>
        </w:r>
        <w:r>
          <w:rPr>
            <w:rFonts w:asciiTheme="minorHAnsi" w:eastAsiaTheme="minorEastAsia" w:hAnsiTheme="minorHAnsi" w:cstheme="minorBidi"/>
            <w:noProof/>
            <w:kern w:val="2"/>
            <w14:ligatures w14:val="standardContextual"/>
          </w:rPr>
          <w:tab/>
        </w:r>
        <w:r w:rsidRPr="00C91020">
          <w:rPr>
            <w:rStyle w:val="Hiperhivatkozs"/>
            <w:noProof/>
          </w:rPr>
          <w:t>A belső lagúnákból és a fedett hígtrágyatárolóból származó metán (CH</w:t>
        </w:r>
        <w:r w:rsidRPr="00C91020">
          <w:rPr>
            <w:rStyle w:val="Hiperhivatkozs"/>
            <w:noProof/>
            <w:vertAlign w:val="subscript"/>
          </w:rPr>
          <w:t>4</w:t>
        </w:r>
        <w:r w:rsidRPr="00C91020">
          <w:rPr>
            <w:rStyle w:val="Hiperhivatkozs"/>
            <w:noProof/>
          </w:rPr>
          <w:t>) kibocsátás</w:t>
        </w:r>
        <w:r>
          <w:rPr>
            <w:noProof/>
            <w:webHidden/>
          </w:rPr>
          <w:tab/>
        </w:r>
        <w:r>
          <w:rPr>
            <w:noProof/>
            <w:webHidden/>
          </w:rPr>
          <w:fldChar w:fldCharType="begin"/>
        </w:r>
        <w:r>
          <w:rPr>
            <w:noProof/>
            <w:webHidden/>
          </w:rPr>
          <w:instrText xml:space="preserve"> PAGEREF _Toc231161095 \h </w:instrText>
        </w:r>
        <w:r>
          <w:rPr>
            <w:noProof/>
            <w:webHidden/>
          </w:rPr>
        </w:r>
        <w:r>
          <w:rPr>
            <w:noProof/>
            <w:webHidden/>
          </w:rPr>
          <w:fldChar w:fldCharType="separate"/>
        </w:r>
        <w:r>
          <w:rPr>
            <w:noProof/>
            <w:webHidden/>
          </w:rPr>
          <w:t>15</w:t>
        </w:r>
        <w:r>
          <w:rPr>
            <w:noProof/>
            <w:webHidden/>
          </w:rPr>
          <w:fldChar w:fldCharType="end"/>
        </w:r>
      </w:hyperlink>
    </w:p>
    <w:p w14:paraId="60C5D9F7" w14:textId="582902E3"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096" w:history="1">
        <w:r w:rsidRPr="00C91020">
          <w:rPr>
            <w:rStyle w:val="Hiperhivatkozs"/>
            <w:noProof/>
          </w:rPr>
          <w:t>5.1.3.</w:t>
        </w:r>
        <w:r>
          <w:rPr>
            <w:rFonts w:asciiTheme="minorHAnsi" w:eastAsiaTheme="minorEastAsia" w:hAnsiTheme="minorHAnsi" w:cstheme="minorBidi"/>
            <w:noProof/>
            <w:kern w:val="2"/>
            <w14:ligatures w14:val="standardContextual"/>
          </w:rPr>
          <w:tab/>
        </w:r>
        <w:r w:rsidRPr="00C91020">
          <w:rPr>
            <w:rStyle w:val="Hiperhivatkozs"/>
            <w:noProof/>
          </w:rPr>
          <w:t>A trágyakezelés nitrogén-transzmissziójából származó dinitrogén-monoxid (N</w:t>
        </w:r>
        <w:r w:rsidRPr="00C91020">
          <w:rPr>
            <w:rStyle w:val="Hiperhivatkozs"/>
            <w:noProof/>
            <w:vertAlign w:val="subscript"/>
          </w:rPr>
          <w:t>2</w:t>
        </w:r>
        <w:r w:rsidRPr="00C91020">
          <w:rPr>
            <w:rStyle w:val="Hiperhivatkozs"/>
            <w:noProof/>
          </w:rPr>
          <w:t>O) kibocsátás</w:t>
        </w:r>
        <w:r>
          <w:rPr>
            <w:noProof/>
            <w:webHidden/>
          </w:rPr>
          <w:tab/>
        </w:r>
        <w:r>
          <w:rPr>
            <w:noProof/>
            <w:webHidden/>
          </w:rPr>
          <w:fldChar w:fldCharType="begin"/>
        </w:r>
        <w:r>
          <w:rPr>
            <w:noProof/>
            <w:webHidden/>
          </w:rPr>
          <w:instrText xml:space="preserve"> PAGEREF _Toc231161096 \h </w:instrText>
        </w:r>
        <w:r>
          <w:rPr>
            <w:noProof/>
            <w:webHidden/>
          </w:rPr>
        </w:r>
        <w:r>
          <w:rPr>
            <w:noProof/>
            <w:webHidden/>
          </w:rPr>
          <w:fldChar w:fldCharType="separate"/>
        </w:r>
        <w:r>
          <w:rPr>
            <w:noProof/>
            <w:webHidden/>
          </w:rPr>
          <w:t>16</w:t>
        </w:r>
        <w:r>
          <w:rPr>
            <w:noProof/>
            <w:webHidden/>
          </w:rPr>
          <w:fldChar w:fldCharType="end"/>
        </w:r>
      </w:hyperlink>
    </w:p>
    <w:p w14:paraId="2147B08C" w14:textId="6C77DD3D"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097" w:history="1">
        <w:r w:rsidRPr="00C91020">
          <w:rPr>
            <w:rStyle w:val="Hiperhivatkozs"/>
            <w:noProof/>
          </w:rPr>
          <w:t>5.1.4.</w:t>
        </w:r>
        <w:r>
          <w:rPr>
            <w:rFonts w:asciiTheme="minorHAnsi" w:eastAsiaTheme="minorEastAsia" w:hAnsiTheme="minorHAnsi" w:cstheme="minorBidi"/>
            <w:noProof/>
            <w:kern w:val="2"/>
            <w14:ligatures w14:val="standardContextual"/>
          </w:rPr>
          <w:tab/>
        </w:r>
        <w:r w:rsidRPr="00C91020">
          <w:rPr>
            <w:rStyle w:val="Hiperhivatkozs"/>
            <w:noProof/>
          </w:rPr>
          <w:t>Részösszefoglaló táblázat – Biogén ÜHG-kibocsátások</w:t>
        </w:r>
        <w:r>
          <w:rPr>
            <w:noProof/>
            <w:webHidden/>
          </w:rPr>
          <w:tab/>
        </w:r>
        <w:r>
          <w:rPr>
            <w:noProof/>
            <w:webHidden/>
          </w:rPr>
          <w:fldChar w:fldCharType="begin"/>
        </w:r>
        <w:r>
          <w:rPr>
            <w:noProof/>
            <w:webHidden/>
          </w:rPr>
          <w:instrText xml:space="preserve"> PAGEREF _Toc231161097 \h </w:instrText>
        </w:r>
        <w:r>
          <w:rPr>
            <w:noProof/>
            <w:webHidden/>
          </w:rPr>
        </w:r>
        <w:r>
          <w:rPr>
            <w:noProof/>
            <w:webHidden/>
          </w:rPr>
          <w:fldChar w:fldCharType="separate"/>
        </w:r>
        <w:r>
          <w:rPr>
            <w:noProof/>
            <w:webHidden/>
          </w:rPr>
          <w:t>16</w:t>
        </w:r>
        <w:r>
          <w:rPr>
            <w:noProof/>
            <w:webHidden/>
          </w:rPr>
          <w:fldChar w:fldCharType="end"/>
        </w:r>
      </w:hyperlink>
    </w:p>
    <w:p w14:paraId="564CC034" w14:textId="44E3500E" w:rsidR="00040813" w:rsidRDefault="00040813">
      <w:pPr>
        <w:pStyle w:val="TJ2"/>
        <w:tabs>
          <w:tab w:val="left" w:pos="960"/>
          <w:tab w:val="right" w:leader="dot" w:pos="9060"/>
        </w:tabs>
        <w:rPr>
          <w:rFonts w:asciiTheme="minorHAnsi" w:eastAsiaTheme="minorEastAsia" w:hAnsiTheme="minorHAnsi" w:cstheme="minorBidi"/>
          <w:noProof/>
          <w:kern w:val="2"/>
          <w14:ligatures w14:val="standardContextual"/>
        </w:rPr>
      </w:pPr>
      <w:hyperlink w:anchor="_Toc231161098" w:history="1">
        <w:r w:rsidRPr="00C91020">
          <w:rPr>
            <w:rStyle w:val="Hiperhivatkozs"/>
            <w:noProof/>
          </w:rPr>
          <w:t>5.2.</w:t>
        </w:r>
        <w:r>
          <w:rPr>
            <w:rFonts w:asciiTheme="minorHAnsi" w:eastAsiaTheme="minorEastAsia" w:hAnsiTheme="minorHAnsi" w:cstheme="minorBidi"/>
            <w:noProof/>
            <w:kern w:val="2"/>
            <w14:ligatures w14:val="standardContextual"/>
          </w:rPr>
          <w:tab/>
        </w:r>
        <w:r w:rsidRPr="00C91020">
          <w:rPr>
            <w:rStyle w:val="Hiperhivatkozs"/>
            <w:noProof/>
          </w:rPr>
          <w:t>Technológiai és logisztikai égetőberendezések fosszilis kibocsátása (Scope 1 - Direct)</w:t>
        </w:r>
        <w:r>
          <w:rPr>
            <w:noProof/>
            <w:webHidden/>
          </w:rPr>
          <w:tab/>
        </w:r>
        <w:r>
          <w:rPr>
            <w:noProof/>
            <w:webHidden/>
          </w:rPr>
          <w:fldChar w:fldCharType="begin"/>
        </w:r>
        <w:r>
          <w:rPr>
            <w:noProof/>
            <w:webHidden/>
          </w:rPr>
          <w:instrText xml:space="preserve"> PAGEREF _Toc231161098 \h </w:instrText>
        </w:r>
        <w:r>
          <w:rPr>
            <w:noProof/>
            <w:webHidden/>
          </w:rPr>
        </w:r>
        <w:r>
          <w:rPr>
            <w:noProof/>
            <w:webHidden/>
          </w:rPr>
          <w:fldChar w:fldCharType="separate"/>
        </w:r>
        <w:r>
          <w:rPr>
            <w:noProof/>
            <w:webHidden/>
          </w:rPr>
          <w:t>17</w:t>
        </w:r>
        <w:r>
          <w:rPr>
            <w:noProof/>
            <w:webHidden/>
          </w:rPr>
          <w:fldChar w:fldCharType="end"/>
        </w:r>
      </w:hyperlink>
    </w:p>
    <w:p w14:paraId="59766075" w14:textId="3FA9B48E"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099" w:history="1">
        <w:r w:rsidRPr="00C91020">
          <w:rPr>
            <w:rStyle w:val="Hiperhivatkozs"/>
            <w:noProof/>
          </w:rPr>
          <w:t>5.2.1.</w:t>
        </w:r>
        <w:r>
          <w:rPr>
            <w:rFonts w:asciiTheme="minorHAnsi" w:eastAsiaTheme="minorEastAsia" w:hAnsiTheme="minorHAnsi" w:cstheme="minorBidi"/>
            <w:noProof/>
            <w:kern w:val="2"/>
            <w14:ligatures w14:val="standardContextual"/>
          </w:rPr>
          <w:tab/>
        </w:r>
        <w:r w:rsidRPr="00C91020">
          <w:rPr>
            <w:rStyle w:val="Hiperhivatkozs"/>
            <w:noProof/>
          </w:rPr>
          <w:t>P1 pontforrás: Bentley 1000 AIS 064 Cyclone tetemégető éves CO</w:t>
        </w:r>
        <w:r w:rsidRPr="00C91020">
          <w:rPr>
            <w:rStyle w:val="Hiperhivatkozs"/>
            <w:noProof/>
            <w:vertAlign w:val="subscript"/>
          </w:rPr>
          <w:t>2</w:t>
        </w:r>
        <w:r w:rsidRPr="00C91020">
          <w:rPr>
            <w:rStyle w:val="Hiperhivatkozs"/>
            <w:noProof/>
          </w:rPr>
          <w:t xml:space="preserve"> kibocsátása</w:t>
        </w:r>
        <w:r>
          <w:rPr>
            <w:noProof/>
            <w:webHidden/>
          </w:rPr>
          <w:tab/>
        </w:r>
        <w:r>
          <w:rPr>
            <w:noProof/>
            <w:webHidden/>
          </w:rPr>
          <w:fldChar w:fldCharType="begin"/>
        </w:r>
        <w:r>
          <w:rPr>
            <w:noProof/>
            <w:webHidden/>
          </w:rPr>
          <w:instrText xml:space="preserve"> PAGEREF _Toc231161099 \h </w:instrText>
        </w:r>
        <w:r>
          <w:rPr>
            <w:noProof/>
            <w:webHidden/>
          </w:rPr>
        </w:r>
        <w:r>
          <w:rPr>
            <w:noProof/>
            <w:webHidden/>
          </w:rPr>
          <w:fldChar w:fldCharType="separate"/>
        </w:r>
        <w:r>
          <w:rPr>
            <w:noProof/>
            <w:webHidden/>
          </w:rPr>
          <w:t>17</w:t>
        </w:r>
        <w:r>
          <w:rPr>
            <w:noProof/>
            <w:webHidden/>
          </w:rPr>
          <w:fldChar w:fldCharType="end"/>
        </w:r>
      </w:hyperlink>
    </w:p>
    <w:p w14:paraId="2D5F52FA" w14:textId="1954DABB"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100" w:history="1">
        <w:r w:rsidRPr="00C91020">
          <w:rPr>
            <w:rStyle w:val="Hiperhivatkozs"/>
            <w:noProof/>
          </w:rPr>
          <w:t>5.2.2.</w:t>
        </w:r>
        <w:r>
          <w:rPr>
            <w:rFonts w:asciiTheme="minorHAnsi" w:eastAsiaTheme="minorEastAsia" w:hAnsiTheme="minorHAnsi" w:cstheme="minorBidi"/>
            <w:noProof/>
            <w:kern w:val="2"/>
            <w14:ligatures w14:val="standardContextual"/>
          </w:rPr>
          <w:tab/>
        </w:r>
        <w:r w:rsidRPr="00C91020">
          <w:rPr>
            <w:rStyle w:val="Hiperhivatkozs"/>
            <w:noProof/>
          </w:rPr>
          <w:t>P2 pontforrás: Biztonsági szükségáramforrás dízelaggregátor vészhelyzeti CO</w:t>
        </w:r>
        <w:r w:rsidRPr="00C91020">
          <w:rPr>
            <w:rStyle w:val="Hiperhivatkozs"/>
            <w:noProof/>
            <w:vertAlign w:val="subscript"/>
          </w:rPr>
          <w:t>2</w:t>
        </w:r>
        <w:r w:rsidRPr="00C91020">
          <w:rPr>
            <w:rStyle w:val="Hiperhivatkozs"/>
            <w:noProof/>
          </w:rPr>
          <w:t xml:space="preserve"> kibocsátása</w:t>
        </w:r>
        <w:r>
          <w:rPr>
            <w:noProof/>
            <w:webHidden/>
          </w:rPr>
          <w:tab/>
        </w:r>
        <w:r>
          <w:rPr>
            <w:noProof/>
            <w:webHidden/>
          </w:rPr>
          <w:fldChar w:fldCharType="begin"/>
        </w:r>
        <w:r>
          <w:rPr>
            <w:noProof/>
            <w:webHidden/>
          </w:rPr>
          <w:instrText xml:space="preserve"> PAGEREF _Toc231161100 \h </w:instrText>
        </w:r>
        <w:r>
          <w:rPr>
            <w:noProof/>
            <w:webHidden/>
          </w:rPr>
        </w:r>
        <w:r>
          <w:rPr>
            <w:noProof/>
            <w:webHidden/>
          </w:rPr>
          <w:fldChar w:fldCharType="separate"/>
        </w:r>
        <w:r>
          <w:rPr>
            <w:noProof/>
            <w:webHidden/>
          </w:rPr>
          <w:t>17</w:t>
        </w:r>
        <w:r>
          <w:rPr>
            <w:noProof/>
            <w:webHidden/>
          </w:rPr>
          <w:fldChar w:fldCharType="end"/>
        </w:r>
      </w:hyperlink>
    </w:p>
    <w:p w14:paraId="3CFF1EEE" w14:textId="331CEAC0"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101" w:history="1">
        <w:r w:rsidRPr="00C91020">
          <w:rPr>
            <w:rStyle w:val="Hiperhivatkozs"/>
            <w:noProof/>
          </w:rPr>
          <w:t>5.2.3.</w:t>
        </w:r>
        <w:r>
          <w:rPr>
            <w:rFonts w:asciiTheme="minorHAnsi" w:eastAsiaTheme="minorEastAsia" w:hAnsiTheme="minorHAnsi" w:cstheme="minorBidi"/>
            <w:noProof/>
            <w:kern w:val="2"/>
            <w14:ligatures w14:val="standardContextual"/>
          </w:rPr>
          <w:tab/>
        </w:r>
        <w:r w:rsidRPr="00C91020">
          <w:rPr>
            <w:rStyle w:val="Hiperhivatkozs"/>
            <w:noProof/>
          </w:rPr>
          <w:t>Telephelyi belső logisztika és egyéb mobil források CO</w:t>
        </w:r>
        <w:r w:rsidRPr="00C91020">
          <w:rPr>
            <w:rStyle w:val="Hiperhivatkozs"/>
            <w:noProof/>
            <w:vertAlign w:val="subscript"/>
          </w:rPr>
          <w:t>2</w:t>
        </w:r>
        <w:r w:rsidRPr="00C91020">
          <w:rPr>
            <w:rStyle w:val="Hiperhivatkozs"/>
            <w:noProof/>
          </w:rPr>
          <w:t xml:space="preserve"> kibocsátása</w:t>
        </w:r>
        <w:r>
          <w:rPr>
            <w:noProof/>
            <w:webHidden/>
          </w:rPr>
          <w:tab/>
        </w:r>
        <w:r>
          <w:rPr>
            <w:noProof/>
            <w:webHidden/>
          </w:rPr>
          <w:fldChar w:fldCharType="begin"/>
        </w:r>
        <w:r>
          <w:rPr>
            <w:noProof/>
            <w:webHidden/>
          </w:rPr>
          <w:instrText xml:space="preserve"> PAGEREF _Toc231161101 \h </w:instrText>
        </w:r>
        <w:r>
          <w:rPr>
            <w:noProof/>
            <w:webHidden/>
          </w:rPr>
        </w:r>
        <w:r>
          <w:rPr>
            <w:noProof/>
            <w:webHidden/>
          </w:rPr>
          <w:fldChar w:fldCharType="separate"/>
        </w:r>
        <w:r>
          <w:rPr>
            <w:noProof/>
            <w:webHidden/>
          </w:rPr>
          <w:t>18</w:t>
        </w:r>
        <w:r>
          <w:rPr>
            <w:noProof/>
            <w:webHidden/>
          </w:rPr>
          <w:fldChar w:fldCharType="end"/>
        </w:r>
      </w:hyperlink>
    </w:p>
    <w:p w14:paraId="22526FB2" w14:textId="331EDFE5"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102" w:history="1">
        <w:r w:rsidRPr="00C91020">
          <w:rPr>
            <w:rStyle w:val="Hiperhivatkozs"/>
            <w:noProof/>
          </w:rPr>
          <w:t>5.2.4.</w:t>
        </w:r>
        <w:r>
          <w:rPr>
            <w:rFonts w:asciiTheme="minorHAnsi" w:eastAsiaTheme="minorEastAsia" w:hAnsiTheme="minorHAnsi" w:cstheme="minorBidi"/>
            <w:noProof/>
            <w:kern w:val="2"/>
            <w14:ligatures w14:val="standardContextual"/>
          </w:rPr>
          <w:tab/>
        </w:r>
        <w:r w:rsidRPr="00C91020">
          <w:rPr>
            <w:rStyle w:val="Hiperhivatkozs"/>
            <w:noProof/>
          </w:rPr>
          <w:t>Részösszefoglaló táblázat – Fosszilis ÜHG-kibocsátások</w:t>
        </w:r>
        <w:r>
          <w:rPr>
            <w:noProof/>
            <w:webHidden/>
          </w:rPr>
          <w:tab/>
        </w:r>
        <w:r>
          <w:rPr>
            <w:noProof/>
            <w:webHidden/>
          </w:rPr>
          <w:fldChar w:fldCharType="begin"/>
        </w:r>
        <w:r>
          <w:rPr>
            <w:noProof/>
            <w:webHidden/>
          </w:rPr>
          <w:instrText xml:space="preserve"> PAGEREF _Toc231161102 \h </w:instrText>
        </w:r>
        <w:r>
          <w:rPr>
            <w:noProof/>
            <w:webHidden/>
          </w:rPr>
        </w:r>
        <w:r>
          <w:rPr>
            <w:noProof/>
            <w:webHidden/>
          </w:rPr>
          <w:fldChar w:fldCharType="separate"/>
        </w:r>
        <w:r>
          <w:rPr>
            <w:noProof/>
            <w:webHidden/>
          </w:rPr>
          <w:t>18</w:t>
        </w:r>
        <w:r>
          <w:rPr>
            <w:noProof/>
            <w:webHidden/>
          </w:rPr>
          <w:fldChar w:fldCharType="end"/>
        </w:r>
      </w:hyperlink>
    </w:p>
    <w:p w14:paraId="4F93D455" w14:textId="4B642FB7" w:rsidR="00040813" w:rsidRDefault="00040813">
      <w:pPr>
        <w:pStyle w:val="TJ2"/>
        <w:tabs>
          <w:tab w:val="left" w:pos="960"/>
          <w:tab w:val="right" w:leader="dot" w:pos="9060"/>
        </w:tabs>
        <w:rPr>
          <w:rFonts w:asciiTheme="minorHAnsi" w:eastAsiaTheme="minorEastAsia" w:hAnsiTheme="minorHAnsi" w:cstheme="minorBidi"/>
          <w:noProof/>
          <w:kern w:val="2"/>
          <w14:ligatures w14:val="standardContextual"/>
        </w:rPr>
      </w:pPr>
      <w:hyperlink w:anchor="_Toc231161103" w:history="1">
        <w:r w:rsidRPr="00C91020">
          <w:rPr>
            <w:rStyle w:val="Hiperhivatkozs"/>
            <w:noProof/>
          </w:rPr>
          <w:t>5.3.</w:t>
        </w:r>
        <w:r>
          <w:rPr>
            <w:rFonts w:asciiTheme="minorHAnsi" w:eastAsiaTheme="minorEastAsia" w:hAnsiTheme="minorHAnsi" w:cstheme="minorBidi"/>
            <w:noProof/>
            <w:kern w:val="2"/>
            <w14:ligatures w14:val="standardContextual"/>
          </w:rPr>
          <w:tab/>
        </w:r>
        <w:r w:rsidRPr="00C91020">
          <w:rPr>
            <w:rStyle w:val="Hiperhivatkozs"/>
            <w:noProof/>
          </w:rPr>
          <w:t>Összesített telepi ÜHG-kibocsátási mérleg szén-dioxid egyenértékben (tonna CO</w:t>
        </w:r>
        <w:r w:rsidRPr="00C91020">
          <w:rPr>
            <w:rStyle w:val="Hiperhivatkozs"/>
            <w:noProof/>
            <w:vertAlign w:val="subscript"/>
          </w:rPr>
          <w:t>2eq</w:t>
        </w:r>
        <w:r w:rsidRPr="00C91020">
          <w:rPr>
            <w:rStyle w:val="Hiperhivatkozs"/>
            <w:noProof/>
          </w:rPr>
          <w:t>/év)</w:t>
        </w:r>
        <w:r>
          <w:rPr>
            <w:noProof/>
            <w:webHidden/>
          </w:rPr>
          <w:tab/>
        </w:r>
        <w:r>
          <w:rPr>
            <w:noProof/>
            <w:webHidden/>
          </w:rPr>
          <w:fldChar w:fldCharType="begin"/>
        </w:r>
        <w:r>
          <w:rPr>
            <w:noProof/>
            <w:webHidden/>
          </w:rPr>
          <w:instrText xml:space="preserve"> PAGEREF _Toc231161103 \h </w:instrText>
        </w:r>
        <w:r>
          <w:rPr>
            <w:noProof/>
            <w:webHidden/>
          </w:rPr>
        </w:r>
        <w:r>
          <w:rPr>
            <w:noProof/>
            <w:webHidden/>
          </w:rPr>
          <w:fldChar w:fldCharType="separate"/>
        </w:r>
        <w:r>
          <w:rPr>
            <w:noProof/>
            <w:webHidden/>
          </w:rPr>
          <w:t>19</w:t>
        </w:r>
        <w:r>
          <w:rPr>
            <w:noProof/>
            <w:webHidden/>
          </w:rPr>
          <w:fldChar w:fldCharType="end"/>
        </w:r>
      </w:hyperlink>
    </w:p>
    <w:p w14:paraId="7545A475" w14:textId="2C46B2CA" w:rsidR="00040813" w:rsidRDefault="00040813">
      <w:pPr>
        <w:pStyle w:val="TJ1"/>
        <w:rPr>
          <w:rFonts w:asciiTheme="minorHAnsi" w:eastAsiaTheme="minorEastAsia" w:hAnsiTheme="minorHAnsi" w:cstheme="minorBidi"/>
          <w:b w:val="0"/>
          <w:kern w:val="2"/>
          <w:sz w:val="24"/>
          <w14:ligatures w14:val="standardContextual"/>
        </w:rPr>
      </w:pPr>
      <w:hyperlink w:anchor="_Toc231161104" w:history="1">
        <w:r w:rsidRPr="00C91020">
          <w:rPr>
            <w:rStyle w:val="Hiperhivatkozs"/>
          </w:rPr>
          <w:t>6.</w:t>
        </w:r>
        <w:r>
          <w:rPr>
            <w:rFonts w:asciiTheme="minorHAnsi" w:eastAsiaTheme="minorEastAsia" w:hAnsiTheme="minorHAnsi" w:cstheme="minorBidi"/>
            <w:b w:val="0"/>
            <w:kern w:val="2"/>
            <w:sz w:val="24"/>
            <w14:ligatures w14:val="standardContextual"/>
          </w:rPr>
          <w:tab/>
        </w:r>
        <w:r w:rsidRPr="00C91020">
          <w:rPr>
            <w:rStyle w:val="Hiperhivatkozs"/>
          </w:rPr>
          <w:t>Éghajlatváltozáshoz való alkalmazkodási és kibocsátás-csökkentési intézkedések</w:t>
        </w:r>
        <w:r>
          <w:rPr>
            <w:webHidden/>
          </w:rPr>
          <w:tab/>
        </w:r>
        <w:r>
          <w:rPr>
            <w:webHidden/>
          </w:rPr>
          <w:fldChar w:fldCharType="begin"/>
        </w:r>
        <w:r>
          <w:rPr>
            <w:webHidden/>
          </w:rPr>
          <w:instrText xml:space="preserve"> PAGEREF _Toc231161104 \h </w:instrText>
        </w:r>
        <w:r>
          <w:rPr>
            <w:webHidden/>
          </w:rPr>
        </w:r>
        <w:r>
          <w:rPr>
            <w:webHidden/>
          </w:rPr>
          <w:fldChar w:fldCharType="separate"/>
        </w:r>
        <w:r>
          <w:rPr>
            <w:webHidden/>
          </w:rPr>
          <w:t>21</w:t>
        </w:r>
        <w:r>
          <w:rPr>
            <w:webHidden/>
          </w:rPr>
          <w:fldChar w:fldCharType="end"/>
        </w:r>
      </w:hyperlink>
    </w:p>
    <w:p w14:paraId="0BC305B5" w14:textId="22D2668E" w:rsidR="00040813" w:rsidRDefault="00040813">
      <w:pPr>
        <w:pStyle w:val="TJ2"/>
        <w:tabs>
          <w:tab w:val="left" w:pos="960"/>
          <w:tab w:val="right" w:leader="dot" w:pos="9060"/>
        </w:tabs>
        <w:rPr>
          <w:rFonts w:asciiTheme="minorHAnsi" w:eastAsiaTheme="minorEastAsia" w:hAnsiTheme="minorHAnsi" w:cstheme="minorBidi"/>
          <w:noProof/>
          <w:kern w:val="2"/>
          <w14:ligatures w14:val="standardContextual"/>
        </w:rPr>
      </w:pPr>
      <w:hyperlink w:anchor="_Toc231161105" w:history="1">
        <w:r w:rsidRPr="00C91020">
          <w:rPr>
            <w:rStyle w:val="Hiperhivatkozs"/>
            <w:noProof/>
          </w:rPr>
          <w:t>6.1.</w:t>
        </w:r>
        <w:r>
          <w:rPr>
            <w:rFonts w:asciiTheme="minorHAnsi" w:eastAsiaTheme="minorEastAsia" w:hAnsiTheme="minorHAnsi" w:cstheme="minorBidi"/>
            <w:noProof/>
            <w:kern w:val="2"/>
            <w14:ligatures w14:val="standardContextual"/>
          </w:rPr>
          <w:tab/>
        </w:r>
        <w:r w:rsidRPr="00C91020">
          <w:rPr>
            <w:rStyle w:val="Hiperhivatkozs"/>
            <w:noProof/>
          </w:rPr>
          <w:t>Technológiai kibocsátás-csökkentési (mitigációs) megoldások a forrásnál</w:t>
        </w:r>
        <w:r>
          <w:rPr>
            <w:noProof/>
            <w:webHidden/>
          </w:rPr>
          <w:tab/>
        </w:r>
        <w:r>
          <w:rPr>
            <w:noProof/>
            <w:webHidden/>
          </w:rPr>
          <w:fldChar w:fldCharType="begin"/>
        </w:r>
        <w:r>
          <w:rPr>
            <w:noProof/>
            <w:webHidden/>
          </w:rPr>
          <w:instrText xml:space="preserve"> PAGEREF _Toc231161105 \h </w:instrText>
        </w:r>
        <w:r>
          <w:rPr>
            <w:noProof/>
            <w:webHidden/>
          </w:rPr>
        </w:r>
        <w:r>
          <w:rPr>
            <w:noProof/>
            <w:webHidden/>
          </w:rPr>
          <w:fldChar w:fldCharType="separate"/>
        </w:r>
        <w:r>
          <w:rPr>
            <w:noProof/>
            <w:webHidden/>
          </w:rPr>
          <w:t>21</w:t>
        </w:r>
        <w:r>
          <w:rPr>
            <w:noProof/>
            <w:webHidden/>
          </w:rPr>
          <w:fldChar w:fldCharType="end"/>
        </w:r>
      </w:hyperlink>
    </w:p>
    <w:p w14:paraId="53BEA521" w14:textId="49CD299A"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106" w:history="1">
        <w:r w:rsidRPr="00C91020">
          <w:rPr>
            <w:rStyle w:val="Hiperhivatkozs"/>
            <w:noProof/>
          </w:rPr>
          <w:t>6.1.1.</w:t>
        </w:r>
        <w:r>
          <w:rPr>
            <w:rFonts w:asciiTheme="minorHAnsi" w:eastAsiaTheme="minorEastAsia" w:hAnsiTheme="minorHAnsi" w:cstheme="minorBidi"/>
            <w:noProof/>
            <w:kern w:val="2"/>
            <w14:ligatures w14:val="standardContextual"/>
          </w:rPr>
          <w:tab/>
        </w:r>
        <w:r w:rsidRPr="00C91020">
          <w:rPr>
            <w:rStyle w:val="Hiperhivatkozs"/>
            <w:noProof/>
          </w:rPr>
          <w:t>A hígtrágyatároló rugalmas ponyvafedésének és a vákuumrendszernek az emisszió-gátló hatása</w:t>
        </w:r>
        <w:r>
          <w:rPr>
            <w:noProof/>
            <w:webHidden/>
          </w:rPr>
          <w:tab/>
        </w:r>
        <w:r>
          <w:rPr>
            <w:noProof/>
            <w:webHidden/>
          </w:rPr>
          <w:fldChar w:fldCharType="begin"/>
        </w:r>
        <w:r>
          <w:rPr>
            <w:noProof/>
            <w:webHidden/>
          </w:rPr>
          <w:instrText xml:space="preserve"> PAGEREF _Toc231161106 \h </w:instrText>
        </w:r>
        <w:r>
          <w:rPr>
            <w:noProof/>
            <w:webHidden/>
          </w:rPr>
        </w:r>
        <w:r>
          <w:rPr>
            <w:noProof/>
            <w:webHidden/>
          </w:rPr>
          <w:fldChar w:fldCharType="separate"/>
        </w:r>
        <w:r>
          <w:rPr>
            <w:noProof/>
            <w:webHidden/>
          </w:rPr>
          <w:t>21</w:t>
        </w:r>
        <w:r>
          <w:rPr>
            <w:noProof/>
            <w:webHidden/>
          </w:rPr>
          <w:fldChar w:fldCharType="end"/>
        </w:r>
      </w:hyperlink>
    </w:p>
    <w:p w14:paraId="53D1BB8D" w14:textId="4E80A684"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107" w:history="1">
        <w:r w:rsidRPr="00C91020">
          <w:rPr>
            <w:rStyle w:val="Hiperhivatkozs"/>
            <w:noProof/>
          </w:rPr>
          <w:t>6.1.2.</w:t>
        </w:r>
        <w:r>
          <w:rPr>
            <w:rFonts w:asciiTheme="minorHAnsi" w:eastAsiaTheme="minorEastAsia" w:hAnsiTheme="minorHAnsi" w:cstheme="minorBidi"/>
            <w:noProof/>
            <w:kern w:val="2"/>
            <w14:ligatures w14:val="standardContextual"/>
          </w:rPr>
          <w:tab/>
        </w:r>
        <w:r w:rsidRPr="00C91020">
          <w:rPr>
            <w:rStyle w:val="Hiperhivatkozs"/>
            <w:noProof/>
          </w:rPr>
          <w:t>Az alacsony nyersfehérje-tartalom és a fázisos takarmányozás szerepe</w:t>
        </w:r>
        <w:r>
          <w:rPr>
            <w:noProof/>
            <w:webHidden/>
          </w:rPr>
          <w:tab/>
        </w:r>
        <w:r>
          <w:rPr>
            <w:noProof/>
            <w:webHidden/>
          </w:rPr>
          <w:fldChar w:fldCharType="begin"/>
        </w:r>
        <w:r>
          <w:rPr>
            <w:noProof/>
            <w:webHidden/>
          </w:rPr>
          <w:instrText xml:space="preserve"> PAGEREF _Toc231161107 \h </w:instrText>
        </w:r>
        <w:r>
          <w:rPr>
            <w:noProof/>
            <w:webHidden/>
          </w:rPr>
        </w:r>
        <w:r>
          <w:rPr>
            <w:noProof/>
            <w:webHidden/>
          </w:rPr>
          <w:fldChar w:fldCharType="separate"/>
        </w:r>
        <w:r>
          <w:rPr>
            <w:noProof/>
            <w:webHidden/>
          </w:rPr>
          <w:t>21</w:t>
        </w:r>
        <w:r>
          <w:rPr>
            <w:noProof/>
            <w:webHidden/>
          </w:rPr>
          <w:fldChar w:fldCharType="end"/>
        </w:r>
      </w:hyperlink>
    </w:p>
    <w:p w14:paraId="301504E3" w14:textId="46CF4128"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108" w:history="1">
        <w:r w:rsidRPr="00C91020">
          <w:rPr>
            <w:rStyle w:val="Hiperhivatkozs"/>
            <w:noProof/>
          </w:rPr>
          <w:t>6.1.3.</w:t>
        </w:r>
        <w:r>
          <w:rPr>
            <w:rFonts w:asciiTheme="minorHAnsi" w:eastAsiaTheme="minorEastAsia" w:hAnsiTheme="minorHAnsi" w:cstheme="minorBidi"/>
            <w:noProof/>
            <w:kern w:val="2"/>
            <w14:ligatures w14:val="standardContextual"/>
          </w:rPr>
          <w:tab/>
        </w:r>
        <w:r w:rsidRPr="00C91020">
          <w:rPr>
            <w:rStyle w:val="Hiperhivatkozs"/>
            <w:noProof/>
          </w:rPr>
          <w:t>A BioAmp 300 / FreeFlow mikrobiológiai kezelés üvegházhatású gázcsökkentő hatásmechanizmusa</w:t>
        </w:r>
        <w:r>
          <w:rPr>
            <w:noProof/>
            <w:webHidden/>
          </w:rPr>
          <w:tab/>
        </w:r>
        <w:r>
          <w:rPr>
            <w:noProof/>
            <w:webHidden/>
          </w:rPr>
          <w:fldChar w:fldCharType="begin"/>
        </w:r>
        <w:r>
          <w:rPr>
            <w:noProof/>
            <w:webHidden/>
          </w:rPr>
          <w:instrText xml:space="preserve"> PAGEREF _Toc231161108 \h </w:instrText>
        </w:r>
        <w:r>
          <w:rPr>
            <w:noProof/>
            <w:webHidden/>
          </w:rPr>
        </w:r>
        <w:r>
          <w:rPr>
            <w:noProof/>
            <w:webHidden/>
          </w:rPr>
          <w:fldChar w:fldCharType="separate"/>
        </w:r>
        <w:r>
          <w:rPr>
            <w:noProof/>
            <w:webHidden/>
          </w:rPr>
          <w:t>22</w:t>
        </w:r>
        <w:r>
          <w:rPr>
            <w:noProof/>
            <w:webHidden/>
          </w:rPr>
          <w:fldChar w:fldCharType="end"/>
        </w:r>
      </w:hyperlink>
    </w:p>
    <w:p w14:paraId="31694B30" w14:textId="59867A7D"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109" w:history="1">
        <w:r w:rsidRPr="00C91020">
          <w:rPr>
            <w:rStyle w:val="Hiperhivatkozs"/>
            <w:noProof/>
          </w:rPr>
          <w:t>6.1.4.</w:t>
        </w:r>
        <w:r>
          <w:rPr>
            <w:rFonts w:asciiTheme="minorHAnsi" w:eastAsiaTheme="minorEastAsia" w:hAnsiTheme="minorHAnsi" w:cstheme="minorBidi"/>
            <w:noProof/>
            <w:kern w:val="2"/>
            <w14:ligatures w14:val="standardContextual"/>
          </w:rPr>
          <w:tab/>
        </w:r>
        <w:r w:rsidRPr="00C91020">
          <w:rPr>
            <w:rStyle w:val="Hiperhivatkozs"/>
            <w:noProof/>
          </w:rPr>
          <w:t>A hígtrágya saját gépparkkal történő szántóföldi kijuttatása közvetlen talajba injektálással, mint technológiai mitigáció</w:t>
        </w:r>
        <w:r>
          <w:rPr>
            <w:noProof/>
            <w:webHidden/>
          </w:rPr>
          <w:tab/>
        </w:r>
        <w:r>
          <w:rPr>
            <w:noProof/>
            <w:webHidden/>
          </w:rPr>
          <w:fldChar w:fldCharType="begin"/>
        </w:r>
        <w:r>
          <w:rPr>
            <w:noProof/>
            <w:webHidden/>
          </w:rPr>
          <w:instrText xml:space="preserve"> PAGEREF _Toc231161109 \h </w:instrText>
        </w:r>
        <w:r>
          <w:rPr>
            <w:noProof/>
            <w:webHidden/>
          </w:rPr>
        </w:r>
        <w:r>
          <w:rPr>
            <w:noProof/>
            <w:webHidden/>
          </w:rPr>
          <w:fldChar w:fldCharType="separate"/>
        </w:r>
        <w:r>
          <w:rPr>
            <w:noProof/>
            <w:webHidden/>
          </w:rPr>
          <w:t>22</w:t>
        </w:r>
        <w:r>
          <w:rPr>
            <w:noProof/>
            <w:webHidden/>
          </w:rPr>
          <w:fldChar w:fldCharType="end"/>
        </w:r>
      </w:hyperlink>
    </w:p>
    <w:p w14:paraId="2F76384C" w14:textId="42EFDEE6"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110" w:history="1">
        <w:r w:rsidRPr="00C91020">
          <w:rPr>
            <w:rStyle w:val="Hiperhivatkozs"/>
            <w:noProof/>
          </w:rPr>
          <w:t>6.1.5.</w:t>
        </w:r>
        <w:r>
          <w:rPr>
            <w:rFonts w:asciiTheme="minorHAnsi" w:eastAsiaTheme="minorEastAsia" w:hAnsiTheme="minorHAnsi" w:cstheme="minorBidi"/>
            <w:noProof/>
            <w:kern w:val="2"/>
            <w14:ligatures w14:val="standardContextual"/>
          </w:rPr>
          <w:tab/>
        </w:r>
        <w:r w:rsidRPr="00C91020">
          <w:rPr>
            <w:rStyle w:val="Hiperhivatkozs"/>
            <w:noProof/>
          </w:rPr>
          <w:t>A Bentley 1000 AIS 064 Cyclone tetemégető technológia logisztikai (Scope 3) ÜHG-megtakarítást biztosító szerepe</w:t>
        </w:r>
        <w:r>
          <w:rPr>
            <w:noProof/>
            <w:webHidden/>
          </w:rPr>
          <w:tab/>
        </w:r>
        <w:r>
          <w:rPr>
            <w:noProof/>
            <w:webHidden/>
          </w:rPr>
          <w:fldChar w:fldCharType="begin"/>
        </w:r>
        <w:r>
          <w:rPr>
            <w:noProof/>
            <w:webHidden/>
          </w:rPr>
          <w:instrText xml:space="preserve"> PAGEREF _Toc231161110 \h </w:instrText>
        </w:r>
        <w:r>
          <w:rPr>
            <w:noProof/>
            <w:webHidden/>
          </w:rPr>
        </w:r>
        <w:r>
          <w:rPr>
            <w:noProof/>
            <w:webHidden/>
          </w:rPr>
          <w:fldChar w:fldCharType="separate"/>
        </w:r>
        <w:r>
          <w:rPr>
            <w:noProof/>
            <w:webHidden/>
          </w:rPr>
          <w:t>23</w:t>
        </w:r>
        <w:r>
          <w:rPr>
            <w:noProof/>
            <w:webHidden/>
          </w:rPr>
          <w:fldChar w:fldCharType="end"/>
        </w:r>
      </w:hyperlink>
    </w:p>
    <w:p w14:paraId="655A7680" w14:textId="483D32FC"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111" w:history="1">
        <w:r w:rsidRPr="00C91020">
          <w:rPr>
            <w:rStyle w:val="Hiperhivatkozs"/>
            <w:noProof/>
          </w:rPr>
          <w:t>6.1.6.</w:t>
        </w:r>
        <w:r>
          <w:rPr>
            <w:rFonts w:asciiTheme="minorHAnsi" w:eastAsiaTheme="minorEastAsia" w:hAnsiTheme="minorHAnsi" w:cstheme="minorBidi"/>
            <w:noProof/>
            <w:kern w:val="2"/>
            <w14:ligatures w14:val="standardContextual"/>
          </w:rPr>
          <w:tab/>
        </w:r>
        <w:r w:rsidRPr="00C91020">
          <w:rPr>
            <w:rStyle w:val="Hiperhivatkozs"/>
            <w:noProof/>
          </w:rPr>
          <w:t>Közvetett (Scope 2) emisszió-kiváltás napelemes (PV) rendszerrel</w:t>
        </w:r>
        <w:r>
          <w:rPr>
            <w:noProof/>
            <w:webHidden/>
          </w:rPr>
          <w:tab/>
        </w:r>
        <w:r>
          <w:rPr>
            <w:noProof/>
            <w:webHidden/>
          </w:rPr>
          <w:fldChar w:fldCharType="begin"/>
        </w:r>
        <w:r>
          <w:rPr>
            <w:noProof/>
            <w:webHidden/>
          </w:rPr>
          <w:instrText xml:space="preserve"> PAGEREF _Toc231161111 \h </w:instrText>
        </w:r>
        <w:r>
          <w:rPr>
            <w:noProof/>
            <w:webHidden/>
          </w:rPr>
        </w:r>
        <w:r>
          <w:rPr>
            <w:noProof/>
            <w:webHidden/>
          </w:rPr>
          <w:fldChar w:fldCharType="separate"/>
        </w:r>
        <w:r>
          <w:rPr>
            <w:noProof/>
            <w:webHidden/>
          </w:rPr>
          <w:t>23</w:t>
        </w:r>
        <w:r>
          <w:rPr>
            <w:noProof/>
            <w:webHidden/>
          </w:rPr>
          <w:fldChar w:fldCharType="end"/>
        </w:r>
      </w:hyperlink>
    </w:p>
    <w:p w14:paraId="5A8103DC" w14:textId="33BD32E5" w:rsidR="00040813" w:rsidRDefault="00040813">
      <w:pPr>
        <w:pStyle w:val="TJ2"/>
        <w:tabs>
          <w:tab w:val="left" w:pos="960"/>
          <w:tab w:val="right" w:leader="dot" w:pos="9060"/>
        </w:tabs>
        <w:rPr>
          <w:rFonts w:asciiTheme="minorHAnsi" w:eastAsiaTheme="minorEastAsia" w:hAnsiTheme="minorHAnsi" w:cstheme="minorBidi"/>
          <w:noProof/>
          <w:kern w:val="2"/>
          <w14:ligatures w14:val="standardContextual"/>
        </w:rPr>
      </w:pPr>
      <w:hyperlink w:anchor="_Toc231161112" w:history="1">
        <w:r w:rsidRPr="00C91020">
          <w:rPr>
            <w:rStyle w:val="Hiperhivatkozs"/>
            <w:noProof/>
          </w:rPr>
          <w:t>6.2.</w:t>
        </w:r>
        <w:r>
          <w:rPr>
            <w:rFonts w:asciiTheme="minorHAnsi" w:eastAsiaTheme="minorEastAsia" w:hAnsiTheme="minorHAnsi" w:cstheme="minorBidi"/>
            <w:noProof/>
            <w:kern w:val="2"/>
            <w14:ligatures w14:val="standardContextual"/>
          </w:rPr>
          <w:tab/>
        </w:r>
        <w:r w:rsidRPr="00C91020">
          <w:rPr>
            <w:rStyle w:val="Hiperhivatkozs"/>
            <w:noProof/>
          </w:rPr>
          <w:t>Mikroklíma-szintű alkalmazkodási (adaptációs) intézkedések</w:t>
        </w:r>
        <w:r>
          <w:rPr>
            <w:noProof/>
            <w:webHidden/>
          </w:rPr>
          <w:tab/>
        </w:r>
        <w:r>
          <w:rPr>
            <w:noProof/>
            <w:webHidden/>
          </w:rPr>
          <w:fldChar w:fldCharType="begin"/>
        </w:r>
        <w:r>
          <w:rPr>
            <w:noProof/>
            <w:webHidden/>
          </w:rPr>
          <w:instrText xml:space="preserve"> PAGEREF _Toc231161112 \h </w:instrText>
        </w:r>
        <w:r>
          <w:rPr>
            <w:noProof/>
            <w:webHidden/>
          </w:rPr>
        </w:r>
        <w:r>
          <w:rPr>
            <w:noProof/>
            <w:webHidden/>
          </w:rPr>
          <w:fldChar w:fldCharType="separate"/>
        </w:r>
        <w:r>
          <w:rPr>
            <w:noProof/>
            <w:webHidden/>
          </w:rPr>
          <w:t>23</w:t>
        </w:r>
        <w:r>
          <w:rPr>
            <w:noProof/>
            <w:webHidden/>
          </w:rPr>
          <w:fldChar w:fldCharType="end"/>
        </w:r>
      </w:hyperlink>
    </w:p>
    <w:p w14:paraId="227DF653" w14:textId="1833D822"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113" w:history="1">
        <w:r w:rsidRPr="00C91020">
          <w:rPr>
            <w:rStyle w:val="Hiperhivatkozs"/>
            <w:noProof/>
          </w:rPr>
          <w:t>6.2.1.</w:t>
        </w:r>
        <w:r>
          <w:rPr>
            <w:rFonts w:asciiTheme="minorHAnsi" w:eastAsiaTheme="minorEastAsia" w:hAnsiTheme="minorHAnsi" w:cstheme="minorBidi"/>
            <w:noProof/>
            <w:kern w:val="2"/>
            <w14:ligatures w14:val="standardContextual"/>
          </w:rPr>
          <w:tab/>
        </w:r>
        <w:r w:rsidRPr="00C91020">
          <w:rPr>
            <w:rStyle w:val="Hiperhivatkozs"/>
            <w:noProof/>
          </w:rPr>
          <w:t>Istállóépületek zárt, PIR töltetű szendvicspaneles hőszigetelése</w:t>
        </w:r>
        <w:r>
          <w:rPr>
            <w:noProof/>
            <w:webHidden/>
          </w:rPr>
          <w:tab/>
        </w:r>
        <w:r>
          <w:rPr>
            <w:noProof/>
            <w:webHidden/>
          </w:rPr>
          <w:fldChar w:fldCharType="begin"/>
        </w:r>
        <w:r>
          <w:rPr>
            <w:noProof/>
            <w:webHidden/>
          </w:rPr>
          <w:instrText xml:space="preserve"> PAGEREF _Toc231161113 \h </w:instrText>
        </w:r>
        <w:r>
          <w:rPr>
            <w:noProof/>
            <w:webHidden/>
          </w:rPr>
        </w:r>
        <w:r>
          <w:rPr>
            <w:noProof/>
            <w:webHidden/>
          </w:rPr>
          <w:fldChar w:fldCharType="separate"/>
        </w:r>
        <w:r>
          <w:rPr>
            <w:noProof/>
            <w:webHidden/>
          </w:rPr>
          <w:t>24</w:t>
        </w:r>
        <w:r>
          <w:rPr>
            <w:noProof/>
            <w:webHidden/>
          </w:rPr>
          <w:fldChar w:fldCharType="end"/>
        </w:r>
      </w:hyperlink>
    </w:p>
    <w:p w14:paraId="555F9B1A" w14:textId="02E97997"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114" w:history="1">
        <w:r w:rsidRPr="00C91020">
          <w:rPr>
            <w:rStyle w:val="Hiperhivatkozs"/>
            <w:noProof/>
          </w:rPr>
          <w:t>6.2.2.</w:t>
        </w:r>
        <w:r>
          <w:rPr>
            <w:rFonts w:asciiTheme="minorHAnsi" w:eastAsiaTheme="minorEastAsia" w:hAnsiTheme="minorHAnsi" w:cstheme="minorBidi"/>
            <w:noProof/>
            <w:kern w:val="2"/>
            <w14:ligatures w14:val="standardContextual"/>
          </w:rPr>
          <w:tab/>
        </w:r>
        <w:r w:rsidRPr="00C91020">
          <w:rPr>
            <w:rStyle w:val="Hiperhivatkozs"/>
            <w:noProof/>
          </w:rPr>
          <w:t>Automatizált evaporatív hűtési rendszerek (Cool-pad) üzemeltetése a hőstressz ellen</w:t>
        </w:r>
        <w:r>
          <w:rPr>
            <w:noProof/>
            <w:webHidden/>
          </w:rPr>
          <w:tab/>
        </w:r>
        <w:r>
          <w:rPr>
            <w:noProof/>
            <w:webHidden/>
          </w:rPr>
          <w:fldChar w:fldCharType="begin"/>
        </w:r>
        <w:r>
          <w:rPr>
            <w:noProof/>
            <w:webHidden/>
          </w:rPr>
          <w:instrText xml:space="preserve"> PAGEREF _Toc231161114 \h </w:instrText>
        </w:r>
        <w:r>
          <w:rPr>
            <w:noProof/>
            <w:webHidden/>
          </w:rPr>
        </w:r>
        <w:r>
          <w:rPr>
            <w:noProof/>
            <w:webHidden/>
          </w:rPr>
          <w:fldChar w:fldCharType="separate"/>
        </w:r>
        <w:r>
          <w:rPr>
            <w:noProof/>
            <w:webHidden/>
          </w:rPr>
          <w:t>24</w:t>
        </w:r>
        <w:r>
          <w:rPr>
            <w:noProof/>
            <w:webHidden/>
          </w:rPr>
          <w:fldChar w:fldCharType="end"/>
        </w:r>
      </w:hyperlink>
    </w:p>
    <w:p w14:paraId="4FCE2330" w14:textId="234E5C17"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115" w:history="1">
        <w:r w:rsidRPr="00C91020">
          <w:rPr>
            <w:rStyle w:val="Hiperhivatkozs"/>
            <w:noProof/>
          </w:rPr>
          <w:t>6.2.3.</w:t>
        </w:r>
        <w:r>
          <w:rPr>
            <w:rFonts w:asciiTheme="minorHAnsi" w:eastAsiaTheme="minorEastAsia" w:hAnsiTheme="minorHAnsi" w:cstheme="minorBidi"/>
            <w:noProof/>
            <w:kern w:val="2"/>
            <w14:ligatures w14:val="standardContextual"/>
          </w:rPr>
          <w:tab/>
        </w:r>
        <w:r w:rsidRPr="00C91020">
          <w:rPr>
            <w:rStyle w:val="Hiperhivatkozs"/>
            <w:noProof/>
          </w:rPr>
          <w:t>A Bentley égetőmű biológiai biztonsági és járványvédelmi adaptációs funkciója</w:t>
        </w:r>
        <w:r>
          <w:rPr>
            <w:noProof/>
            <w:webHidden/>
          </w:rPr>
          <w:tab/>
        </w:r>
        <w:r>
          <w:rPr>
            <w:noProof/>
            <w:webHidden/>
          </w:rPr>
          <w:fldChar w:fldCharType="begin"/>
        </w:r>
        <w:r>
          <w:rPr>
            <w:noProof/>
            <w:webHidden/>
          </w:rPr>
          <w:instrText xml:space="preserve"> PAGEREF _Toc231161115 \h </w:instrText>
        </w:r>
        <w:r>
          <w:rPr>
            <w:noProof/>
            <w:webHidden/>
          </w:rPr>
        </w:r>
        <w:r>
          <w:rPr>
            <w:noProof/>
            <w:webHidden/>
          </w:rPr>
          <w:fldChar w:fldCharType="separate"/>
        </w:r>
        <w:r>
          <w:rPr>
            <w:noProof/>
            <w:webHidden/>
          </w:rPr>
          <w:t>24</w:t>
        </w:r>
        <w:r>
          <w:rPr>
            <w:noProof/>
            <w:webHidden/>
          </w:rPr>
          <w:fldChar w:fldCharType="end"/>
        </w:r>
      </w:hyperlink>
    </w:p>
    <w:p w14:paraId="3228D41C" w14:textId="0FDFDD2E" w:rsidR="00040813" w:rsidRDefault="00040813">
      <w:pPr>
        <w:pStyle w:val="TJ1"/>
        <w:rPr>
          <w:rFonts w:asciiTheme="minorHAnsi" w:eastAsiaTheme="minorEastAsia" w:hAnsiTheme="minorHAnsi" w:cstheme="minorBidi"/>
          <w:b w:val="0"/>
          <w:kern w:val="2"/>
          <w:sz w:val="24"/>
          <w14:ligatures w14:val="standardContextual"/>
        </w:rPr>
      </w:pPr>
      <w:hyperlink w:anchor="_Toc231161116" w:history="1">
        <w:r w:rsidRPr="00C91020">
          <w:rPr>
            <w:rStyle w:val="Hiperhivatkozs"/>
          </w:rPr>
          <w:t>7.</w:t>
        </w:r>
        <w:r>
          <w:rPr>
            <w:rFonts w:asciiTheme="minorHAnsi" w:eastAsiaTheme="minorEastAsia" w:hAnsiTheme="minorHAnsi" w:cstheme="minorBidi"/>
            <w:b w:val="0"/>
            <w:kern w:val="2"/>
            <w:sz w:val="24"/>
            <w14:ligatures w14:val="standardContextual"/>
          </w:rPr>
          <w:tab/>
        </w:r>
        <w:r w:rsidRPr="00C91020">
          <w:rPr>
            <w:rStyle w:val="Hiperhivatkozs"/>
          </w:rPr>
          <w:t>A növényzet általi ÜHG-megkötés és elnyelés mérlege</w:t>
        </w:r>
        <w:r>
          <w:rPr>
            <w:webHidden/>
          </w:rPr>
          <w:tab/>
        </w:r>
        <w:r>
          <w:rPr>
            <w:webHidden/>
          </w:rPr>
          <w:fldChar w:fldCharType="begin"/>
        </w:r>
        <w:r>
          <w:rPr>
            <w:webHidden/>
          </w:rPr>
          <w:instrText xml:space="preserve"> PAGEREF _Toc231161116 \h </w:instrText>
        </w:r>
        <w:r>
          <w:rPr>
            <w:webHidden/>
          </w:rPr>
        </w:r>
        <w:r>
          <w:rPr>
            <w:webHidden/>
          </w:rPr>
          <w:fldChar w:fldCharType="separate"/>
        </w:r>
        <w:r>
          <w:rPr>
            <w:webHidden/>
          </w:rPr>
          <w:t>25</w:t>
        </w:r>
        <w:r>
          <w:rPr>
            <w:webHidden/>
          </w:rPr>
          <w:fldChar w:fldCharType="end"/>
        </w:r>
      </w:hyperlink>
    </w:p>
    <w:p w14:paraId="635E10AF" w14:textId="7809331E" w:rsidR="00040813" w:rsidRDefault="00040813">
      <w:pPr>
        <w:pStyle w:val="TJ2"/>
        <w:tabs>
          <w:tab w:val="left" w:pos="960"/>
          <w:tab w:val="right" w:leader="dot" w:pos="9060"/>
        </w:tabs>
        <w:rPr>
          <w:rFonts w:asciiTheme="minorHAnsi" w:eastAsiaTheme="minorEastAsia" w:hAnsiTheme="minorHAnsi" w:cstheme="minorBidi"/>
          <w:noProof/>
          <w:kern w:val="2"/>
          <w14:ligatures w14:val="standardContextual"/>
        </w:rPr>
      </w:pPr>
      <w:hyperlink w:anchor="_Toc231161117" w:history="1">
        <w:r w:rsidRPr="00C91020">
          <w:rPr>
            <w:rStyle w:val="Hiperhivatkozs"/>
            <w:noProof/>
          </w:rPr>
          <w:t>7.1.</w:t>
        </w:r>
        <w:r>
          <w:rPr>
            <w:rFonts w:asciiTheme="minorHAnsi" w:eastAsiaTheme="minorEastAsia" w:hAnsiTheme="minorHAnsi" w:cstheme="minorBidi"/>
            <w:noProof/>
            <w:kern w:val="2"/>
            <w14:ligatures w14:val="standardContextual"/>
          </w:rPr>
          <w:tab/>
        </w:r>
        <w:r w:rsidRPr="00C91020">
          <w:rPr>
            <w:rStyle w:val="Hiperhivatkozs"/>
            <w:noProof/>
          </w:rPr>
          <w:t>A barnamezős beruházás kiindulási állapotának értékelése (elnyelés-kiesés vizsgálata)</w:t>
        </w:r>
        <w:r>
          <w:rPr>
            <w:noProof/>
            <w:webHidden/>
          </w:rPr>
          <w:tab/>
        </w:r>
        <w:r>
          <w:rPr>
            <w:noProof/>
            <w:webHidden/>
          </w:rPr>
          <w:fldChar w:fldCharType="begin"/>
        </w:r>
        <w:r>
          <w:rPr>
            <w:noProof/>
            <w:webHidden/>
          </w:rPr>
          <w:instrText xml:space="preserve"> PAGEREF _Toc231161117 \h </w:instrText>
        </w:r>
        <w:r>
          <w:rPr>
            <w:noProof/>
            <w:webHidden/>
          </w:rPr>
        </w:r>
        <w:r>
          <w:rPr>
            <w:noProof/>
            <w:webHidden/>
          </w:rPr>
          <w:fldChar w:fldCharType="separate"/>
        </w:r>
        <w:r>
          <w:rPr>
            <w:noProof/>
            <w:webHidden/>
          </w:rPr>
          <w:t>25</w:t>
        </w:r>
        <w:r>
          <w:rPr>
            <w:noProof/>
            <w:webHidden/>
          </w:rPr>
          <w:fldChar w:fldCharType="end"/>
        </w:r>
      </w:hyperlink>
    </w:p>
    <w:p w14:paraId="2AB2F399" w14:textId="1EE113E2" w:rsidR="00040813" w:rsidRDefault="00040813">
      <w:pPr>
        <w:pStyle w:val="TJ2"/>
        <w:tabs>
          <w:tab w:val="left" w:pos="960"/>
          <w:tab w:val="right" w:leader="dot" w:pos="9060"/>
        </w:tabs>
        <w:rPr>
          <w:rFonts w:asciiTheme="minorHAnsi" w:eastAsiaTheme="minorEastAsia" w:hAnsiTheme="minorHAnsi" w:cstheme="minorBidi"/>
          <w:noProof/>
          <w:kern w:val="2"/>
          <w14:ligatures w14:val="standardContextual"/>
        </w:rPr>
      </w:pPr>
      <w:hyperlink w:anchor="_Toc231161118" w:history="1">
        <w:r w:rsidRPr="00C91020">
          <w:rPr>
            <w:rStyle w:val="Hiperhivatkozs"/>
            <w:noProof/>
          </w:rPr>
          <w:t>7.2.</w:t>
        </w:r>
        <w:r>
          <w:rPr>
            <w:rFonts w:asciiTheme="minorHAnsi" w:eastAsiaTheme="minorEastAsia" w:hAnsiTheme="minorHAnsi" w:cstheme="minorBidi"/>
            <w:noProof/>
            <w:kern w:val="2"/>
            <w14:ligatures w14:val="standardContextual"/>
          </w:rPr>
          <w:tab/>
        </w:r>
        <w:r w:rsidRPr="00C91020">
          <w:rPr>
            <w:rStyle w:val="Hiperhivatkozs"/>
            <w:noProof/>
          </w:rPr>
          <w:t>A Gip-2 és Má-1 övezetek tervezett magas zöldfelületi mutatóinak bemutatása</w:t>
        </w:r>
        <w:r>
          <w:rPr>
            <w:noProof/>
            <w:webHidden/>
          </w:rPr>
          <w:tab/>
        </w:r>
        <w:r>
          <w:rPr>
            <w:noProof/>
            <w:webHidden/>
          </w:rPr>
          <w:fldChar w:fldCharType="begin"/>
        </w:r>
        <w:r>
          <w:rPr>
            <w:noProof/>
            <w:webHidden/>
          </w:rPr>
          <w:instrText xml:space="preserve"> PAGEREF _Toc231161118 \h </w:instrText>
        </w:r>
        <w:r>
          <w:rPr>
            <w:noProof/>
            <w:webHidden/>
          </w:rPr>
        </w:r>
        <w:r>
          <w:rPr>
            <w:noProof/>
            <w:webHidden/>
          </w:rPr>
          <w:fldChar w:fldCharType="separate"/>
        </w:r>
        <w:r>
          <w:rPr>
            <w:noProof/>
            <w:webHidden/>
          </w:rPr>
          <w:t>25</w:t>
        </w:r>
        <w:r>
          <w:rPr>
            <w:noProof/>
            <w:webHidden/>
          </w:rPr>
          <w:fldChar w:fldCharType="end"/>
        </w:r>
      </w:hyperlink>
    </w:p>
    <w:p w14:paraId="2E380F3F" w14:textId="7E2416F9"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119" w:history="1">
        <w:r w:rsidRPr="00C91020">
          <w:rPr>
            <w:rStyle w:val="Hiperhivatkozs"/>
            <w:noProof/>
          </w:rPr>
          <w:t>7.2.1.</w:t>
        </w:r>
        <w:r>
          <w:rPr>
            <w:rFonts w:asciiTheme="minorHAnsi" w:eastAsiaTheme="minorEastAsia" w:hAnsiTheme="minorHAnsi" w:cstheme="minorBidi"/>
            <w:noProof/>
            <w:kern w:val="2"/>
            <w14:ligatures w14:val="standardContextual"/>
          </w:rPr>
          <w:tab/>
        </w:r>
        <w:r w:rsidRPr="00C91020">
          <w:rPr>
            <w:rStyle w:val="Hiperhivatkozs"/>
            <w:noProof/>
          </w:rPr>
          <w:t>Övezeti előírások és a tervezett zöldfelületi arányok</w:t>
        </w:r>
        <w:r>
          <w:rPr>
            <w:noProof/>
            <w:webHidden/>
          </w:rPr>
          <w:tab/>
        </w:r>
        <w:r>
          <w:rPr>
            <w:noProof/>
            <w:webHidden/>
          </w:rPr>
          <w:fldChar w:fldCharType="begin"/>
        </w:r>
        <w:r>
          <w:rPr>
            <w:noProof/>
            <w:webHidden/>
          </w:rPr>
          <w:instrText xml:space="preserve"> PAGEREF _Toc231161119 \h </w:instrText>
        </w:r>
        <w:r>
          <w:rPr>
            <w:noProof/>
            <w:webHidden/>
          </w:rPr>
        </w:r>
        <w:r>
          <w:rPr>
            <w:noProof/>
            <w:webHidden/>
          </w:rPr>
          <w:fldChar w:fldCharType="separate"/>
        </w:r>
        <w:r>
          <w:rPr>
            <w:noProof/>
            <w:webHidden/>
          </w:rPr>
          <w:t>26</w:t>
        </w:r>
        <w:r>
          <w:rPr>
            <w:noProof/>
            <w:webHidden/>
          </w:rPr>
          <w:fldChar w:fldCharType="end"/>
        </w:r>
      </w:hyperlink>
    </w:p>
    <w:p w14:paraId="37ADB57C" w14:textId="0D05D963"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120" w:history="1">
        <w:r w:rsidRPr="00C91020">
          <w:rPr>
            <w:rStyle w:val="Hiperhivatkozs"/>
            <w:noProof/>
          </w:rPr>
          <w:t>7.2.2.</w:t>
        </w:r>
        <w:r>
          <w:rPr>
            <w:rFonts w:asciiTheme="minorHAnsi" w:eastAsiaTheme="minorEastAsia" w:hAnsiTheme="minorHAnsi" w:cstheme="minorBidi"/>
            <w:noProof/>
            <w:kern w:val="2"/>
            <w14:ligatures w14:val="standardContextual"/>
          </w:rPr>
          <w:tab/>
        </w:r>
        <w:r w:rsidRPr="00C91020">
          <w:rPr>
            <w:rStyle w:val="Hiperhivatkozs"/>
            <w:noProof/>
          </w:rPr>
          <w:t>A tervezett zöldfelület minőségi és strukturális jellemzői</w:t>
        </w:r>
        <w:r>
          <w:rPr>
            <w:noProof/>
            <w:webHidden/>
          </w:rPr>
          <w:tab/>
        </w:r>
        <w:r>
          <w:rPr>
            <w:noProof/>
            <w:webHidden/>
          </w:rPr>
          <w:fldChar w:fldCharType="begin"/>
        </w:r>
        <w:r>
          <w:rPr>
            <w:noProof/>
            <w:webHidden/>
          </w:rPr>
          <w:instrText xml:space="preserve"> PAGEREF _Toc231161120 \h </w:instrText>
        </w:r>
        <w:r>
          <w:rPr>
            <w:noProof/>
            <w:webHidden/>
          </w:rPr>
        </w:r>
        <w:r>
          <w:rPr>
            <w:noProof/>
            <w:webHidden/>
          </w:rPr>
          <w:fldChar w:fldCharType="separate"/>
        </w:r>
        <w:r>
          <w:rPr>
            <w:noProof/>
            <w:webHidden/>
          </w:rPr>
          <w:t>26</w:t>
        </w:r>
        <w:r>
          <w:rPr>
            <w:noProof/>
            <w:webHidden/>
          </w:rPr>
          <w:fldChar w:fldCharType="end"/>
        </w:r>
      </w:hyperlink>
    </w:p>
    <w:p w14:paraId="1E182878" w14:textId="7FA7DF89"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121" w:history="1">
        <w:r w:rsidRPr="00C91020">
          <w:rPr>
            <w:rStyle w:val="Hiperhivatkozs"/>
            <w:noProof/>
          </w:rPr>
          <w:t>7.2.3.</w:t>
        </w:r>
        <w:r>
          <w:rPr>
            <w:rFonts w:asciiTheme="minorHAnsi" w:eastAsiaTheme="minorEastAsia" w:hAnsiTheme="minorHAnsi" w:cstheme="minorBidi"/>
            <w:noProof/>
            <w:kern w:val="2"/>
            <w14:ligatures w14:val="standardContextual"/>
          </w:rPr>
          <w:tab/>
        </w:r>
        <w:r w:rsidRPr="00C91020">
          <w:rPr>
            <w:rStyle w:val="Hiperhivatkozs"/>
            <w:noProof/>
          </w:rPr>
          <w:t>A magas zöldfelületi mutatók közvetlen éghajlatvédelmi és környezeti előnyei</w:t>
        </w:r>
        <w:r>
          <w:rPr>
            <w:noProof/>
            <w:webHidden/>
          </w:rPr>
          <w:tab/>
        </w:r>
        <w:r>
          <w:rPr>
            <w:noProof/>
            <w:webHidden/>
          </w:rPr>
          <w:fldChar w:fldCharType="begin"/>
        </w:r>
        <w:r>
          <w:rPr>
            <w:noProof/>
            <w:webHidden/>
          </w:rPr>
          <w:instrText xml:space="preserve"> PAGEREF _Toc231161121 \h </w:instrText>
        </w:r>
        <w:r>
          <w:rPr>
            <w:noProof/>
            <w:webHidden/>
          </w:rPr>
        </w:r>
        <w:r>
          <w:rPr>
            <w:noProof/>
            <w:webHidden/>
          </w:rPr>
          <w:fldChar w:fldCharType="separate"/>
        </w:r>
        <w:r>
          <w:rPr>
            <w:noProof/>
            <w:webHidden/>
          </w:rPr>
          <w:t>26</w:t>
        </w:r>
        <w:r>
          <w:rPr>
            <w:noProof/>
            <w:webHidden/>
          </w:rPr>
          <w:fldChar w:fldCharType="end"/>
        </w:r>
      </w:hyperlink>
    </w:p>
    <w:p w14:paraId="1FD555F1" w14:textId="78A2493E" w:rsidR="00040813" w:rsidRDefault="00040813">
      <w:pPr>
        <w:pStyle w:val="TJ2"/>
        <w:tabs>
          <w:tab w:val="left" w:pos="960"/>
          <w:tab w:val="right" w:leader="dot" w:pos="9060"/>
        </w:tabs>
        <w:rPr>
          <w:rFonts w:asciiTheme="minorHAnsi" w:eastAsiaTheme="minorEastAsia" w:hAnsiTheme="minorHAnsi" w:cstheme="minorBidi"/>
          <w:noProof/>
          <w:kern w:val="2"/>
          <w14:ligatures w14:val="standardContextual"/>
        </w:rPr>
      </w:pPr>
      <w:hyperlink w:anchor="_Toc231161122" w:history="1">
        <w:r w:rsidRPr="00C91020">
          <w:rPr>
            <w:rStyle w:val="Hiperhivatkozs"/>
            <w:noProof/>
          </w:rPr>
          <w:t>7.3.</w:t>
        </w:r>
        <w:r>
          <w:rPr>
            <w:rFonts w:asciiTheme="minorHAnsi" w:eastAsiaTheme="minorEastAsia" w:hAnsiTheme="minorHAnsi" w:cstheme="minorBidi"/>
            <w:noProof/>
            <w:kern w:val="2"/>
            <w14:ligatures w14:val="standardContextual"/>
          </w:rPr>
          <w:tab/>
        </w:r>
        <w:r w:rsidRPr="00C91020">
          <w:rPr>
            <w:rStyle w:val="Hiperhivatkozs"/>
            <w:noProof/>
          </w:rPr>
          <w:t>A 3 szintes védőfásítás éves szén-dioxid-megkötő kapacitásának számítása</w:t>
        </w:r>
        <w:r>
          <w:rPr>
            <w:noProof/>
            <w:webHidden/>
          </w:rPr>
          <w:tab/>
        </w:r>
        <w:r>
          <w:rPr>
            <w:noProof/>
            <w:webHidden/>
          </w:rPr>
          <w:fldChar w:fldCharType="begin"/>
        </w:r>
        <w:r>
          <w:rPr>
            <w:noProof/>
            <w:webHidden/>
          </w:rPr>
          <w:instrText xml:space="preserve"> PAGEREF _Toc231161122 \h </w:instrText>
        </w:r>
        <w:r>
          <w:rPr>
            <w:noProof/>
            <w:webHidden/>
          </w:rPr>
        </w:r>
        <w:r>
          <w:rPr>
            <w:noProof/>
            <w:webHidden/>
          </w:rPr>
          <w:fldChar w:fldCharType="separate"/>
        </w:r>
        <w:r>
          <w:rPr>
            <w:noProof/>
            <w:webHidden/>
          </w:rPr>
          <w:t>27</w:t>
        </w:r>
        <w:r>
          <w:rPr>
            <w:noProof/>
            <w:webHidden/>
          </w:rPr>
          <w:fldChar w:fldCharType="end"/>
        </w:r>
      </w:hyperlink>
    </w:p>
    <w:p w14:paraId="564EC9ED" w14:textId="3E82906B"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123" w:history="1">
        <w:r w:rsidRPr="00C91020">
          <w:rPr>
            <w:rStyle w:val="Hiperhivatkozs"/>
            <w:noProof/>
          </w:rPr>
          <w:t>7.3.1.</w:t>
        </w:r>
        <w:r>
          <w:rPr>
            <w:rFonts w:asciiTheme="minorHAnsi" w:eastAsiaTheme="minorEastAsia" w:hAnsiTheme="minorHAnsi" w:cstheme="minorBidi"/>
            <w:noProof/>
            <w:kern w:val="2"/>
            <w14:ligatures w14:val="standardContextual"/>
          </w:rPr>
          <w:tab/>
        </w:r>
        <w:r w:rsidRPr="00C91020">
          <w:rPr>
            <w:rStyle w:val="Hiperhivatkozs"/>
            <w:noProof/>
          </w:rPr>
          <w:t>A fás szárú szint (Mezei juhar fasorok) éves szén-dioxid-elnyelése</w:t>
        </w:r>
        <w:r>
          <w:rPr>
            <w:noProof/>
            <w:webHidden/>
          </w:rPr>
          <w:tab/>
        </w:r>
        <w:r>
          <w:rPr>
            <w:noProof/>
            <w:webHidden/>
          </w:rPr>
          <w:fldChar w:fldCharType="begin"/>
        </w:r>
        <w:r>
          <w:rPr>
            <w:noProof/>
            <w:webHidden/>
          </w:rPr>
          <w:instrText xml:space="preserve"> PAGEREF _Toc231161123 \h </w:instrText>
        </w:r>
        <w:r>
          <w:rPr>
            <w:noProof/>
            <w:webHidden/>
          </w:rPr>
        </w:r>
        <w:r>
          <w:rPr>
            <w:noProof/>
            <w:webHidden/>
          </w:rPr>
          <w:fldChar w:fldCharType="separate"/>
        </w:r>
        <w:r>
          <w:rPr>
            <w:noProof/>
            <w:webHidden/>
          </w:rPr>
          <w:t>27</w:t>
        </w:r>
        <w:r>
          <w:rPr>
            <w:noProof/>
            <w:webHidden/>
          </w:rPr>
          <w:fldChar w:fldCharType="end"/>
        </w:r>
      </w:hyperlink>
    </w:p>
    <w:p w14:paraId="27A57EF6" w14:textId="28FC4B29"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124" w:history="1">
        <w:r w:rsidRPr="00C91020">
          <w:rPr>
            <w:rStyle w:val="Hiperhivatkozs"/>
            <w:noProof/>
          </w:rPr>
          <w:t>7.3.2.</w:t>
        </w:r>
        <w:r>
          <w:rPr>
            <w:rFonts w:asciiTheme="minorHAnsi" w:eastAsiaTheme="minorEastAsia" w:hAnsiTheme="minorHAnsi" w:cstheme="minorBidi"/>
            <w:noProof/>
            <w:kern w:val="2"/>
            <w14:ligatures w14:val="standardContextual"/>
          </w:rPr>
          <w:tab/>
        </w:r>
        <w:r w:rsidRPr="00C91020">
          <w:rPr>
            <w:rStyle w:val="Hiperhivatkozs"/>
            <w:noProof/>
          </w:rPr>
          <w:t>A cserjeszint (Közönséges fagyal sávok) éves szén-dioxid-elnyelése</w:t>
        </w:r>
        <w:r>
          <w:rPr>
            <w:noProof/>
            <w:webHidden/>
          </w:rPr>
          <w:tab/>
        </w:r>
        <w:r>
          <w:rPr>
            <w:noProof/>
            <w:webHidden/>
          </w:rPr>
          <w:fldChar w:fldCharType="begin"/>
        </w:r>
        <w:r>
          <w:rPr>
            <w:noProof/>
            <w:webHidden/>
          </w:rPr>
          <w:instrText xml:space="preserve"> PAGEREF _Toc231161124 \h </w:instrText>
        </w:r>
        <w:r>
          <w:rPr>
            <w:noProof/>
            <w:webHidden/>
          </w:rPr>
        </w:r>
        <w:r>
          <w:rPr>
            <w:noProof/>
            <w:webHidden/>
          </w:rPr>
          <w:fldChar w:fldCharType="separate"/>
        </w:r>
        <w:r>
          <w:rPr>
            <w:noProof/>
            <w:webHidden/>
          </w:rPr>
          <w:t>27</w:t>
        </w:r>
        <w:r>
          <w:rPr>
            <w:noProof/>
            <w:webHidden/>
          </w:rPr>
          <w:fldChar w:fldCharType="end"/>
        </w:r>
      </w:hyperlink>
    </w:p>
    <w:p w14:paraId="1304727F" w14:textId="24903CA4" w:rsidR="00040813" w:rsidRDefault="00040813">
      <w:pPr>
        <w:pStyle w:val="TJ3"/>
        <w:tabs>
          <w:tab w:val="left" w:pos="1320"/>
          <w:tab w:val="right" w:leader="dot" w:pos="9060"/>
        </w:tabs>
        <w:rPr>
          <w:rFonts w:asciiTheme="minorHAnsi" w:eastAsiaTheme="minorEastAsia" w:hAnsiTheme="minorHAnsi" w:cstheme="minorBidi"/>
          <w:noProof/>
          <w:kern w:val="2"/>
          <w14:ligatures w14:val="standardContextual"/>
        </w:rPr>
      </w:pPr>
      <w:hyperlink w:anchor="_Toc231161125" w:history="1">
        <w:r w:rsidRPr="00C91020">
          <w:rPr>
            <w:rStyle w:val="Hiperhivatkozs"/>
            <w:noProof/>
          </w:rPr>
          <w:t>7.3.3.</w:t>
        </w:r>
        <w:r>
          <w:rPr>
            <w:rFonts w:asciiTheme="minorHAnsi" w:eastAsiaTheme="minorEastAsia" w:hAnsiTheme="minorHAnsi" w:cstheme="minorBidi"/>
            <w:noProof/>
            <w:kern w:val="2"/>
            <w14:ligatures w14:val="standardContextual"/>
          </w:rPr>
          <w:tab/>
        </w:r>
        <w:r w:rsidRPr="00C91020">
          <w:rPr>
            <w:rStyle w:val="Hiperhivatkozs"/>
            <w:noProof/>
          </w:rPr>
          <w:t>A lágyszárú szint (Zárt gyeptakaró) éves szén-dioxid-elnyelése</w:t>
        </w:r>
        <w:r>
          <w:rPr>
            <w:noProof/>
            <w:webHidden/>
          </w:rPr>
          <w:tab/>
        </w:r>
        <w:r>
          <w:rPr>
            <w:noProof/>
            <w:webHidden/>
          </w:rPr>
          <w:fldChar w:fldCharType="begin"/>
        </w:r>
        <w:r>
          <w:rPr>
            <w:noProof/>
            <w:webHidden/>
          </w:rPr>
          <w:instrText xml:space="preserve"> PAGEREF _Toc231161125 \h </w:instrText>
        </w:r>
        <w:r>
          <w:rPr>
            <w:noProof/>
            <w:webHidden/>
          </w:rPr>
        </w:r>
        <w:r>
          <w:rPr>
            <w:noProof/>
            <w:webHidden/>
          </w:rPr>
          <w:fldChar w:fldCharType="separate"/>
        </w:r>
        <w:r>
          <w:rPr>
            <w:noProof/>
            <w:webHidden/>
          </w:rPr>
          <w:t>28</w:t>
        </w:r>
        <w:r>
          <w:rPr>
            <w:noProof/>
            <w:webHidden/>
          </w:rPr>
          <w:fldChar w:fldCharType="end"/>
        </w:r>
      </w:hyperlink>
    </w:p>
    <w:p w14:paraId="2CA91E6C" w14:textId="78F62BFE" w:rsidR="00040813" w:rsidRDefault="00040813">
      <w:pPr>
        <w:pStyle w:val="TJ2"/>
        <w:tabs>
          <w:tab w:val="left" w:pos="960"/>
          <w:tab w:val="right" w:leader="dot" w:pos="9060"/>
        </w:tabs>
        <w:rPr>
          <w:rFonts w:asciiTheme="minorHAnsi" w:eastAsiaTheme="minorEastAsia" w:hAnsiTheme="minorHAnsi" w:cstheme="minorBidi"/>
          <w:noProof/>
          <w:kern w:val="2"/>
          <w14:ligatures w14:val="standardContextual"/>
        </w:rPr>
      </w:pPr>
      <w:hyperlink w:anchor="_Toc231161126" w:history="1">
        <w:r w:rsidRPr="00C91020">
          <w:rPr>
            <w:rStyle w:val="Hiperhivatkozs"/>
            <w:noProof/>
          </w:rPr>
          <w:t>7.4.</w:t>
        </w:r>
        <w:r>
          <w:rPr>
            <w:rFonts w:asciiTheme="minorHAnsi" w:eastAsiaTheme="minorEastAsia" w:hAnsiTheme="minorHAnsi" w:cstheme="minorBidi"/>
            <w:noProof/>
            <w:kern w:val="2"/>
            <w14:ligatures w14:val="standardContextual"/>
          </w:rPr>
          <w:tab/>
        </w:r>
        <w:r w:rsidRPr="00C91020">
          <w:rPr>
            <w:rStyle w:val="Hiperhivatkozs"/>
            <w:noProof/>
          </w:rPr>
          <w:t>Éghajlatvédelmi konklúzió és a telepi ÜHG-mérleg egyenlege</w:t>
        </w:r>
        <w:r>
          <w:rPr>
            <w:noProof/>
            <w:webHidden/>
          </w:rPr>
          <w:tab/>
        </w:r>
        <w:r>
          <w:rPr>
            <w:noProof/>
            <w:webHidden/>
          </w:rPr>
          <w:fldChar w:fldCharType="begin"/>
        </w:r>
        <w:r>
          <w:rPr>
            <w:noProof/>
            <w:webHidden/>
          </w:rPr>
          <w:instrText xml:space="preserve"> PAGEREF _Toc231161126 \h </w:instrText>
        </w:r>
        <w:r>
          <w:rPr>
            <w:noProof/>
            <w:webHidden/>
          </w:rPr>
        </w:r>
        <w:r>
          <w:rPr>
            <w:noProof/>
            <w:webHidden/>
          </w:rPr>
          <w:fldChar w:fldCharType="separate"/>
        </w:r>
        <w:r>
          <w:rPr>
            <w:noProof/>
            <w:webHidden/>
          </w:rPr>
          <w:t>28</w:t>
        </w:r>
        <w:r>
          <w:rPr>
            <w:noProof/>
            <w:webHidden/>
          </w:rPr>
          <w:fldChar w:fldCharType="end"/>
        </w:r>
      </w:hyperlink>
    </w:p>
    <w:p w14:paraId="6F00D61F" w14:textId="5AE50628" w:rsidR="00040813" w:rsidRDefault="00040813">
      <w:pPr>
        <w:pStyle w:val="TJ1"/>
        <w:rPr>
          <w:rFonts w:asciiTheme="minorHAnsi" w:eastAsiaTheme="minorEastAsia" w:hAnsiTheme="minorHAnsi" w:cstheme="minorBidi"/>
          <w:b w:val="0"/>
          <w:kern w:val="2"/>
          <w:sz w:val="24"/>
          <w14:ligatures w14:val="standardContextual"/>
        </w:rPr>
      </w:pPr>
      <w:hyperlink w:anchor="_Toc231161127" w:history="1">
        <w:r w:rsidRPr="00C91020">
          <w:rPr>
            <w:rStyle w:val="Hiperhivatkozs"/>
          </w:rPr>
          <w:t>8.</w:t>
        </w:r>
        <w:r>
          <w:rPr>
            <w:rFonts w:asciiTheme="minorHAnsi" w:eastAsiaTheme="minorEastAsia" w:hAnsiTheme="minorHAnsi" w:cstheme="minorBidi"/>
            <w:b w:val="0"/>
            <w:kern w:val="2"/>
            <w:sz w:val="24"/>
            <w14:ligatures w14:val="standardContextual"/>
          </w:rPr>
          <w:tab/>
        </w:r>
        <w:r w:rsidRPr="00C91020">
          <w:rPr>
            <w:rStyle w:val="Hiperhivatkozs"/>
          </w:rPr>
          <w:t>Összegzés</w:t>
        </w:r>
        <w:r>
          <w:rPr>
            <w:webHidden/>
          </w:rPr>
          <w:tab/>
        </w:r>
        <w:r>
          <w:rPr>
            <w:webHidden/>
          </w:rPr>
          <w:fldChar w:fldCharType="begin"/>
        </w:r>
        <w:r>
          <w:rPr>
            <w:webHidden/>
          </w:rPr>
          <w:instrText xml:space="preserve"> PAGEREF _Toc231161127 \h </w:instrText>
        </w:r>
        <w:r>
          <w:rPr>
            <w:webHidden/>
          </w:rPr>
        </w:r>
        <w:r>
          <w:rPr>
            <w:webHidden/>
          </w:rPr>
          <w:fldChar w:fldCharType="separate"/>
        </w:r>
        <w:r>
          <w:rPr>
            <w:webHidden/>
          </w:rPr>
          <w:t>29</w:t>
        </w:r>
        <w:r>
          <w:rPr>
            <w:webHidden/>
          </w:rPr>
          <w:fldChar w:fldCharType="end"/>
        </w:r>
      </w:hyperlink>
    </w:p>
    <w:p w14:paraId="0E2348A5" w14:textId="2A519B8A" w:rsidR="00040813" w:rsidRDefault="00040813">
      <w:pPr>
        <w:pStyle w:val="TJ1"/>
        <w:rPr>
          <w:rFonts w:asciiTheme="minorHAnsi" w:eastAsiaTheme="minorEastAsia" w:hAnsiTheme="minorHAnsi" w:cstheme="minorBidi"/>
          <w:b w:val="0"/>
          <w:kern w:val="2"/>
          <w:sz w:val="24"/>
          <w14:ligatures w14:val="standardContextual"/>
        </w:rPr>
      </w:pPr>
      <w:hyperlink w:anchor="_Toc231161128" w:history="1">
        <w:r w:rsidRPr="00C91020">
          <w:rPr>
            <w:rStyle w:val="Hiperhivatkozs"/>
          </w:rPr>
          <w:t>9.</w:t>
        </w:r>
        <w:r>
          <w:rPr>
            <w:rFonts w:asciiTheme="minorHAnsi" w:eastAsiaTheme="minorEastAsia" w:hAnsiTheme="minorHAnsi" w:cstheme="minorBidi"/>
            <w:b w:val="0"/>
            <w:kern w:val="2"/>
            <w:sz w:val="24"/>
            <w14:ligatures w14:val="standardContextual"/>
          </w:rPr>
          <w:tab/>
        </w:r>
        <w:r w:rsidRPr="00C91020">
          <w:rPr>
            <w:rStyle w:val="Hiperhivatkozs"/>
          </w:rPr>
          <w:t>Szakértői értékelés</w:t>
        </w:r>
        <w:r>
          <w:rPr>
            <w:webHidden/>
          </w:rPr>
          <w:tab/>
        </w:r>
        <w:r>
          <w:rPr>
            <w:webHidden/>
          </w:rPr>
          <w:fldChar w:fldCharType="begin"/>
        </w:r>
        <w:r>
          <w:rPr>
            <w:webHidden/>
          </w:rPr>
          <w:instrText xml:space="preserve"> PAGEREF _Toc231161128 \h </w:instrText>
        </w:r>
        <w:r>
          <w:rPr>
            <w:webHidden/>
          </w:rPr>
        </w:r>
        <w:r>
          <w:rPr>
            <w:webHidden/>
          </w:rPr>
          <w:fldChar w:fldCharType="separate"/>
        </w:r>
        <w:r>
          <w:rPr>
            <w:webHidden/>
          </w:rPr>
          <w:t>30</w:t>
        </w:r>
        <w:r>
          <w:rPr>
            <w:webHidden/>
          </w:rPr>
          <w:fldChar w:fldCharType="end"/>
        </w:r>
      </w:hyperlink>
    </w:p>
    <w:p w14:paraId="7DCAEDC9" w14:textId="7AA68C46" w:rsidR="00E81567" w:rsidRDefault="00C0254C" w:rsidP="00E81567">
      <w:r>
        <w:fldChar w:fldCharType="end"/>
      </w:r>
    </w:p>
    <w:p w14:paraId="057BF2B6" w14:textId="00D08011" w:rsidR="00C0254C" w:rsidRDefault="00C0254C">
      <w:pPr>
        <w:spacing w:after="0"/>
        <w:jc w:val="left"/>
      </w:pPr>
      <w:r>
        <w:br w:type="page"/>
      </w:r>
    </w:p>
    <w:p w14:paraId="2514AFB4" w14:textId="24FFA0DC" w:rsidR="005410C4" w:rsidRPr="005410C4" w:rsidRDefault="00530553" w:rsidP="004B18CE">
      <w:pPr>
        <w:pStyle w:val="Cmsor1"/>
      </w:pPr>
      <w:bookmarkStart w:id="3" w:name="_Toc231161070"/>
      <w:r>
        <w:lastRenderedPageBreak/>
        <w:t>Előzmények</w:t>
      </w:r>
      <w:bookmarkEnd w:id="0"/>
      <w:bookmarkEnd w:id="1"/>
      <w:bookmarkEnd w:id="2"/>
      <w:bookmarkEnd w:id="3"/>
    </w:p>
    <w:p w14:paraId="400CD663" w14:textId="77777777" w:rsidR="00705646" w:rsidRDefault="00705646" w:rsidP="00705646">
      <w:r>
        <w:t>Jelen kiegészítő dokumentáció a DR. FÜLÖP MÉNES Lótenyésztő és Értékesítő Kft. megbízásából a Tiszaszőlős külterület 0244 hrsz. és 0242/2 hrsz. alatti ingatlanokon megvalósítani tervezett, 5200 férőhelyes sertéstelep és a hozzá tartozó hígtrágyatároló műtárgy létesítésére irányuló összevont környezeti hatásvizsgálati és egységes környezethasználati engedélyezési (IPPC/KHV) eljárás szerves részét képezi.</w:t>
      </w:r>
    </w:p>
    <w:p w14:paraId="532CF859" w14:textId="7B524B84" w:rsidR="008962EB" w:rsidRDefault="00705646" w:rsidP="00705646">
      <w:r>
        <w:t>A dokumentáció összeállítását a Jász-Nagykun-Szolnok Vármegyei Kormányhivatal Környezetvédelmi, Természetvédelmi és Hulladékgazdálkodási Főosztálya előtt JN/59/01680/2026. ügyiratszámon folyamatban lévő hatósági eljárás során kiadott, JN/59/01680-11/2026. iktatószámú hiánypótlási végzés tette szükségessé.</w:t>
      </w:r>
    </w:p>
    <w:p w14:paraId="55860092" w14:textId="77777777" w:rsidR="00705646" w:rsidRDefault="00705646" w:rsidP="00705646">
      <w:r>
        <w:t>A környezetvédelmi hatóság végzésében az alábbi releváns tervezési feladat kidolgozását írta elő a beruházó számára:</w:t>
      </w:r>
    </w:p>
    <w:p w14:paraId="5F08EB72" w14:textId="317EA858" w:rsidR="00705646" w:rsidRDefault="00705646" w:rsidP="00705646">
      <w:pPr>
        <w:pStyle w:val="Idzs"/>
      </w:pPr>
      <w:r>
        <w:t>„Kérjük a benyújtott dokumentációt kiegészíteni a környezeti hatásvizsgálati és az egységes környezethasználati engedélyezési eljárásról szóló 314/2005. (XII. 25.) Korm. rendelet 6. sz. melléklet 4. ak), al), am) pontjaiban foglaltak bemutatásával.”</w:t>
      </w:r>
    </w:p>
    <w:p w14:paraId="48FF14C7" w14:textId="77777777" w:rsidR="00DC57CA" w:rsidRDefault="00705646" w:rsidP="00705646">
      <w:r w:rsidRPr="00705646">
        <w:t>A hivatkozott hatósági előírás és a mögöttes jogszabályi háttér értelmében a fejlesztéssel érintett tevékenység globális és lokális klímahatásait, valamint az éghajlatváltozáshoz való alkalmazkodási képességét strukturált formában, egzakt szakmai számításokkal alátámasztva szükséges bemutatni. Ennek megfelelően jelen különálló dokumentáció részletesen tárgyalja és számszerűsíti az alábbi jogszabályi pontokat:</w:t>
      </w:r>
    </w:p>
    <w:p w14:paraId="5DB262F6" w14:textId="77777777" w:rsidR="00DC57CA" w:rsidRDefault="00705646" w:rsidP="00705646">
      <w:r w:rsidRPr="00705646">
        <w:t>4. ak) pont: Az üvegházhatású gázok (ÜHG) várható közvetlen és közvetett kibocsátásának bemutatása éves szinten, tonnában kifejezett CO</w:t>
      </w:r>
      <w:r w:rsidRPr="00DC57CA">
        <w:rPr>
          <w:vertAlign w:val="subscript"/>
        </w:rPr>
        <w:t>2</w:t>
      </w:r>
      <w:r w:rsidRPr="00705646">
        <w:t>-egyenértékben (t</w:t>
      </w:r>
      <w:r w:rsidR="00DC57CA">
        <w:t xml:space="preserve"> </w:t>
      </w:r>
      <w:r w:rsidRPr="00705646">
        <w:t>CO</w:t>
      </w:r>
      <w:r w:rsidRPr="00DC57CA">
        <w:rPr>
          <w:vertAlign w:val="subscript"/>
        </w:rPr>
        <w:t>2e</w:t>
      </w:r>
      <w:r w:rsidRPr="00705646">
        <w:t>/év) meghatározva, nemzetközileg elfogadott és validált módszertani számításokkal alátámasztva.</w:t>
      </w:r>
    </w:p>
    <w:p w14:paraId="41383316" w14:textId="77777777" w:rsidR="00DC57CA" w:rsidRDefault="00705646" w:rsidP="00705646">
      <w:r w:rsidRPr="00705646">
        <w:t>4. al) pont: Az olyan, lehetséges alkalmazkodási (adaptációs) intézkedések, valamint az üvegházhatású gázok kibocsátásának csökkentését, illetve ellentételezését szolgáló (mitigációs) intézkedések részletes bemutatása, amelyek éghajlati, ökológiai és környezeti szempontból igazoltan hasznosak, továbbá megvalósításuk nem ró aránytalanul magas gazdasági költséget a környezethasználóra.</w:t>
      </w:r>
    </w:p>
    <w:p w14:paraId="22B3AE7F" w14:textId="77777777" w:rsidR="00757062" w:rsidRDefault="00705646" w:rsidP="00705646">
      <w:r w:rsidRPr="00705646">
        <w:t>4. am) pont: Annak számításokkal alátámasztott bemutatása és modellezése, hogy a tervezett barnamezős beruházás, valamint a kapcsolódó háromszintes zöldfelület-telepítés hogyan befolyásolja az üvegházhatású gázok megkötését vagy a meglévő és tervezett növényzet általi CO</w:t>
      </w:r>
      <w:r w:rsidRPr="00705646">
        <w:rPr>
          <w:rFonts w:ascii="Cambria Math" w:hAnsi="Cambria Math" w:cs="Cambria Math"/>
        </w:rPr>
        <w:t>₂</w:t>
      </w:r>
      <w:r w:rsidRPr="00705646">
        <w:t>-elnyel</w:t>
      </w:r>
      <w:r w:rsidRPr="00705646">
        <w:rPr>
          <w:rFonts w:cs="Garamond"/>
        </w:rPr>
        <w:t>é</w:t>
      </w:r>
      <w:r w:rsidRPr="00705646">
        <w:t>si potenci</w:t>
      </w:r>
      <w:r w:rsidRPr="00705646">
        <w:rPr>
          <w:rFonts w:cs="Garamond"/>
        </w:rPr>
        <w:t>á</w:t>
      </w:r>
      <w:r w:rsidRPr="00705646">
        <w:t>lt.</w:t>
      </w:r>
    </w:p>
    <w:p w14:paraId="05E455B9" w14:textId="39B653A5" w:rsidR="00705646" w:rsidRDefault="00705646" w:rsidP="00705646">
      <w:r w:rsidRPr="00705646">
        <w:t>Jelen dokument</w:t>
      </w:r>
      <w:r w:rsidRPr="00705646">
        <w:rPr>
          <w:rFonts w:cs="Garamond"/>
        </w:rPr>
        <w:t>á</w:t>
      </w:r>
      <w:r w:rsidRPr="00705646">
        <w:t>ci</w:t>
      </w:r>
      <w:r w:rsidRPr="00705646">
        <w:rPr>
          <w:rFonts w:cs="Garamond"/>
        </w:rPr>
        <w:t>ó</w:t>
      </w:r>
      <w:r w:rsidRPr="00705646">
        <w:t xml:space="preserve"> c</w:t>
      </w:r>
      <w:r w:rsidRPr="00705646">
        <w:rPr>
          <w:rFonts w:cs="Garamond"/>
        </w:rPr>
        <w:t>é</w:t>
      </w:r>
      <w:r w:rsidRPr="00705646">
        <w:t>lja, hogy a hat</w:t>
      </w:r>
      <w:r w:rsidRPr="00705646">
        <w:rPr>
          <w:rFonts w:cs="Garamond"/>
        </w:rPr>
        <w:t>ó</w:t>
      </w:r>
      <w:r w:rsidRPr="00705646">
        <w:t>s</w:t>
      </w:r>
      <w:r w:rsidRPr="00705646">
        <w:rPr>
          <w:rFonts w:cs="Garamond"/>
        </w:rPr>
        <w:t>á</w:t>
      </w:r>
      <w:r w:rsidRPr="00705646">
        <w:t>g r</w:t>
      </w:r>
      <w:r w:rsidRPr="00705646">
        <w:rPr>
          <w:rFonts w:cs="Garamond"/>
        </w:rPr>
        <w:t>é</w:t>
      </w:r>
      <w:r w:rsidRPr="00705646">
        <w:t>sz</w:t>
      </w:r>
      <w:r w:rsidRPr="00705646">
        <w:rPr>
          <w:rFonts w:cs="Garamond"/>
        </w:rPr>
        <w:t>é</w:t>
      </w:r>
      <w:r w:rsidRPr="00705646">
        <w:t>re teljes k</w:t>
      </w:r>
      <w:r w:rsidRPr="00705646">
        <w:rPr>
          <w:rFonts w:cs="Garamond"/>
        </w:rPr>
        <w:t>ö</w:t>
      </w:r>
      <w:r w:rsidRPr="00705646">
        <w:t>r</w:t>
      </w:r>
      <w:r w:rsidRPr="00705646">
        <w:rPr>
          <w:rFonts w:cs="Garamond"/>
        </w:rPr>
        <w:t>ű</w:t>
      </w:r>
      <w:r w:rsidRPr="00705646">
        <w:t>, sz</w:t>
      </w:r>
      <w:r w:rsidRPr="00705646">
        <w:rPr>
          <w:rFonts w:cs="Garamond"/>
        </w:rPr>
        <w:t>á</w:t>
      </w:r>
      <w:r w:rsidRPr="00705646">
        <w:t>mszakilag ellen</w:t>
      </w:r>
      <w:r w:rsidRPr="00705646">
        <w:rPr>
          <w:rFonts w:cs="Garamond"/>
        </w:rPr>
        <w:t>ő</w:t>
      </w:r>
      <w:r w:rsidRPr="00705646">
        <w:t>rizhet</w:t>
      </w:r>
      <w:r w:rsidRPr="00705646">
        <w:rPr>
          <w:rFonts w:cs="Garamond"/>
        </w:rPr>
        <w:t>ő</w:t>
      </w:r>
      <w:r w:rsidRPr="00705646">
        <w:t xml:space="preserve"> </w:t>
      </w:r>
      <w:r w:rsidRPr="00705646">
        <w:rPr>
          <w:rFonts w:cs="Garamond"/>
        </w:rPr>
        <w:t>é</w:t>
      </w:r>
      <w:r w:rsidRPr="00705646">
        <w:t>s a hat</w:t>
      </w:r>
      <w:r w:rsidRPr="00705646">
        <w:rPr>
          <w:rFonts w:cs="Garamond"/>
        </w:rPr>
        <w:t>á</w:t>
      </w:r>
      <w:r w:rsidRPr="00705646">
        <w:t>lyos hazai, valamint uni</w:t>
      </w:r>
      <w:r w:rsidRPr="00705646">
        <w:rPr>
          <w:rFonts w:cs="Garamond"/>
        </w:rPr>
        <w:t>ó</w:t>
      </w:r>
      <w:r w:rsidRPr="00705646">
        <w:t>s kl</w:t>
      </w:r>
      <w:r w:rsidRPr="00705646">
        <w:rPr>
          <w:rFonts w:cs="Garamond"/>
        </w:rPr>
        <w:t>í</w:t>
      </w:r>
      <w:r w:rsidRPr="00705646">
        <w:t>mapolitikai c</w:t>
      </w:r>
      <w:r w:rsidRPr="00705646">
        <w:rPr>
          <w:rFonts w:cs="Garamond"/>
        </w:rPr>
        <w:t>é</w:t>
      </w:r>
      <w:r w:rsidRPr="00705646">
        <w:t xml:space="preserve">lokkal </w:t>
      </w:r>
      <w:r w:rsidRPr="00705646">
        <w:rPr>
          <w:rFonts w:cs="Garamond"/>
        </w:rPr>
        <w:t>ö</w:t>
      </w:r>
      <w:r w:rsidRPr="00705646">
        <w:t>sszhangban l</w:t>
      </w:r>
      <w:r w:rsidRPr="00705646">
        <w:rPr>
          <w:rFonts w:cs="Garamond"/>
        </w:rPr>
        <w:t>é</w:t>
      </w:r>
      <w:r w:rsidRPr="00705646">
        <w:t>v</w:t>
      </w:r>
      <w:r w:rsidRPr="00705646">
        <w:rPr>
          <w:rFonts w:cs="Garamond"/>
        </w:rPr>
        <w:t>ő</w:t>
      </w:r>
      <w:r w:rsidRPr="00705646">
        <w:t xml:space="preserve"> v</w:t>
      </w:r>
      <w:r w:rsidRPr="00705646">
        <w:rPr>
          <w:rFonts w:cs="Garamond"/>
        </w:rPr>
        <w:t>á</w:t>
      </w:r>
      <w:r w:rsidRPr="00705646">
        <w:t>laszokat szolg</w:t>
      </w:r>
      <w:r w:rsidRPr="00705646">
        <w:rPr>
          <w:rFonts w:cs="Garamond"/>
        </w:rPr>
        <w:t>á</w:t>
      </w:r>
      <w:r w:rsidRPr="00705646">
        <w:t>ltasson, elősegítve a tervezett tevékenység környezetvédelmi engedélyezését.</w:t>
      </w:r>
    </w:p>
    <w:p w14:paraId="63F405D6" w14:textId="5488CF78" w:rsidR="00757062" w:rsidRDefault="005D5954" w:rsidP="005D5954">
      <w:pPr>
        <w:pStyle w:val="Cmsor1"/>
      </w:pPr>
      <w:bookmarkStart w:id="4" w:name="_Toc231161071"/>
      <w:r>
        <w:lastRenderedPageBreak/>
        <w:t>Stratégiai és klímavédelmi célkitűzések</w:t>
      </w:r>
      <w:bookmarkEnd w:id="4"/>
    </w:p>
    <w:p w14:paraId="5D0F1AC2" w14:textId="613F6BEE" w:rsidR="005D5954" w:rsidRDefault="00606479" w:rsidP="00AF4DD6">
      <w:pPr>
        <w:pStyle w:val="Cmsor2"/>
      </w:pPr>
      <w:bookmarkStart w:id="5" w:name="_Toc231161072"/>
      <w:r w:rsidRPr="00606479">
        <w:t>Európai uniós szintű stratégiai célok és szakpolitikai keretek</w:t>
      </w:r>
      <w:bookmarkEnd w:id="5"/>
    </w:p>
    <w:p w14:paraId="5C534ED4" w14:textId="77777777" w:rsidR="00606479" w:rsidRPr="00606479" w:rsidRDefault="00606479" w:rsidP="00606479">
      <w:r w:rsidRPr="00606479">
        <w:t>Az Európai Unió klímapolitikájának középpontjában a klímasemlegesség törvényi szintű rögzítése és a fenntartható élelmiszer-termelés áll, amelyek közvetlen elvárásokat támasztanak az állattenyésztési beruházásokkal szemben.</w:t>
      </w:r>
    </w:p>
    <w:p w14:paraId="0303F9BB" w14:textId="3B17F458" w:rsidR="00606479" w:rsidRPr="00606479" w:rsidRDefault="00606479">
      <w:pPr>
        <w:numPr>
          <w:ilvl w:val="0"/>
          <w:numId w:val="8"/>
        </w:numPr>
      </w:pPr>
      <w:r w:rsidRPr="00606479">
        <w:rPr>
          <w:b/>
          <w:bCs/>
        </w:rPr>
        <w:t>A nettó ÜHG-kibocsátás radikális csökkentése:</w:t>
      </w:r>
      <w:r w:rsidRPr="00606479">
        <w:t xml:space="preserve"> Az Európai Klímavédelmi Törvény és a </w:t>
      </w:r>
      <w:r w:rsidRPr="00606479">
        <w:rPr>
          <w:i/>
          <w:iCs/>
        </w:rPr>
        <w:t>„Fit for 55” (Irány az 55%!)</w:t>
      </w:r>
      <w:r w:rsidRPr="00606479">
        <w:t xml:space="preserve"> intézkedéscsomag kötelező érvényű uniós klímacéllá tette a nettó üvegházhatású gázok kibocsátásának legalább 55%-os csökkentését 2030-ig az 1990-es szinthez képest, a végső cél pedig a teljes klímasemlegesség elérése 2050-re</w:t>
      </w:r>
      <w:r>
        <w:rPr>
          <w:rStyle w:val="Lbjegyzet-hivatkozs"/>
        </w:rPr>
        <w:footnoteReference w:id="1"/>
      </w:r>
      <w:r w:rsidRPr="00606479">
        <w:t>. A mezőgazdaságnak, mint nem-ETS (Kereskedési Rendszeren kívüli) szektornak, a Közös Kötelezettségvállalási Rendelet értelmében tagállami szinten, arányosan kell hozzájárulnia a kibocsátás-csökkentéshez</w:t>
      </w:r>
      <w:r w:rsidR="00D720ED">
        <w:rPr>
          <w:rStyle w:val="Lbjegyzet-hivatkozs"/>
        </w:rPr>
        <w:footnoteReference w:id="2"/>
      </w:r>
      <w:r w:rsidRPr="00606479">
        <w:t>.</w:t>
      </w:r>
    </w:p>
    <w:p w14:paraId="4A901ED3" w14:textId="74FDFC04" w:rsidR="00606479" w:rsidRPr="00606479" w:rsidRDefault="00606479">
      <w:pPr>
        <w:numPr>
          <w:ilvl w:val="0"/>
          <w:numId w:val="8"/>
        </w:numPr>
      </w:pPr>
      <w:r w:rsidRPr="00606479">
        <w:rPr>
          <w:b/>
          <w:bCs/>
        </w:rPr>
        <w:t>A metánkibocsátás célzott mérséklése:</w:t>
      </w:r>
      <w:r w:rsidRPr="00606479">
        <w:t xml:space="preserve"> Az </w:t>
      </w:r>
      <w:r w:rsidRPr="00606479">
        <w:rPr>
          <w:i/>
          <w:iCs/>
        </w:rPr>
        <w:t>EU Metánstratégia</w:t>
      </w:r>
      <w:r w:rsidRPr="00606479">
        <w:t xml:space="preserve"> kiemelten kezeli a mezőgazdaságot, amely az unió metánkibocsátásának több</w:t>
      </w:r>
      <w:r w:rsidR="00D720ED">
        <w:t>,</w:t>
      </w:r>
      <w:r w:rsidRPr="00606479">
        <w:t xml:space="preserve"> mint feléért felelős. A fő cél a takarmányozási hatékonyság növelése, valamint a trágyakezelési technológiák korszerűsítése, például a zárt tárolás és a kibocsátás-csökkentő fedések elterjesztése révén</w:t>
      </w:r>
      <w:r w:rsidR="00D720ED">
        <w:rPr>
          <w:rStyle w:val="Lbjegyzet-hivatkozs"/>
        </w:rPr>
        <w:footnoteReference w:id="3"/>
      </w:r>
      <w:r w:rsidRPr="00606479">
        <w:t>.</w:t>
      </w:r>
    </w:p>
    <w:p w14:paraId="15FB5EB9" w14:textId="5787B7CF" w:rsidR="00606479" w:rsidRPr="00606479" w:rsidRDefault="00606479">
      <w:pPr>
        <w:numPr>
          <w:ilvl w:val="0"/>
          <w:numId w:val="8"/>
        </w:numPr>
      </w:pPr>
      <w:r w:rsidRPr="00606479">
        <w:rPr>
          <w:b/>
          <w:bCs/>
        </w:rPr>
        <w:t>„A termelőtől az asztalig” (Farm to Fork) Stratégia:</w:t>
      </w:r>
      <w:r w:rsidRPr="00606479">
        <w:t xml:space="preserve"> Ez a keretrendszer a fenntartható élelmiszerrendszerekre való átállást sürgeti. Célul tűzi ki a mezőgazdaságból származó tápanyagveszteség legalább 50%-os csökkentését – ami közvetve mérsékli a dinitrogén-monoxid (N</w:t>
      </w:r>
      <w:r w:rsidRPr="00D720ED">
        <w:rPr>
          <w:vertAlign w:val="subscript"/>
        </w:rPr>
        <w:t>2</w:t>
      </w:r>
      <w:r w:rsidRPr="00606479">
        <w:t>O) emissziót –, valamint ösztönzi a körforgásos gazdasági modellek, például a hígtrágya ellenőrzött tápanyag-utánpótlási hasznosításának bevezetését</w:t>
      </w:r>
      <w:r w:rsidR="00D720ED">
        <w:rPr>
          <w:rStyle w:val="Lbjegyzet-hivatkozs"/>
        </w:rPr>
        <w:footnoteReference w:id="4"/>
      </w:r>
      <w:r w:rsidRPr="00606479">
        <w:t>.</w:t>
      </w:r>
    </w:p>
    <w:p w14:paraId="676D900F" w14:textId="39E5C568" w:rsidR="00606479" w:rsidRPr="00606479" w:rsidRDefault="00606479">
      <w:pPr>
        <w:numPr>
          <w:ilvl w:val="0"/>
          <w:numId w:val="8"/>
        </w:numPr>
      </w:pPr>
      <w:r w:rsidRPr="00606479">
        <w:rPr>
          <w:b/>
          <w:bCs/>
        </w:rPr>
        <w:t>Klímaadaptáció és reziliencia:</w:t>
      </w:r>
      <w:r w:rsidRPr="00606479">
        <w:t xml:space="preserve"> Az </w:t>
      </w:r>
      <w:r w:rsidRPr="00606479">
        <w:rPr>
          <w:i/>
          <w:iCs/>
        </w:rPr>
        <w:t>Új Uniós Klímaadaptációs Stratégia</w:t>
      </w:r>
      <w:r w:rsidRPr="00606479">
        <w:t xml:space="preserve"> célja, hogy Európa 2050-re teljesen felkészült legyen a klímaváltozás elkerülhetetlen hatásaira. Az állattartó telepek esetében ez a technológiai felkészültséget, a hőstressz elleni védekezést, a hatékony vízgazdálkodást és az állatjólét extrém időjárási körülmények közötti fenntartását jelenti</w:t>
      </w:r>
      <w:r w:rsidR="00CC3A1F">
        <w:rPr>
          <w:rStyle w:val="Lbjegyzet-hivatkozs"/>
        </w:rPr>
        <w:footnoteReference w:id="5"/>
      </w:r>
      <w:r w:rsidRPr="00606479">
        <w:t>.</w:t>
      </w:r>
    </w:p>
    <w:p w14:paraId="3BB1EC2B" w14:textId="714F74FB" w:rsidR="00AF4DD6" w:rsidRDefault="00CC3A1F" w:rsidP="00CC3A1F">
      <w:pPr>
        <w:pStyle w:val="Cmsor2"/>
      </w:pPr>
      <w:bookmarkStart w:id="6" w:name="_Toc231161073"/>
      <w:r w:rsidRPr="00CC3A1F">
        <w:t>Országos szintű stratégiai célok és kormányzati programok</w:t>
      </w:r>
      <w:bookmarkEnd w:id="6"/>
    </w:p>
    <w:p w14:paraId="6F3F8F1D" w14:textId="72643E0C" w:rsidR="00606479" w:rsidRDefault="00CC3A1F" w:rsidP="00AF4DD6">
      <w:r w:rsidRPr="00CC3A1F">
        <w:t>Magyarország klímapolitikai kereteit törvényi szinten rögzítették, a végrehajtási irányokat pedig a nemzeti stratégiák határozzák meg, amelyek a tiszaszőlősi beruházás tervezési szempontjait is kijelölik.</w:t>
      </w:r>
    </w:p>
    <w:p w14:paraId="3414A934" w14:textId="2BE29D3F" w:rsidR="00CC3A1F" w:rsidRDefault="00CC3A1F" w:rsidP="00AF4DD6">
      <w:r w:rsidRPr="00CC3A1F">
        <w:t>Törvényben rögzített klímasemlegesség: A klímavédelemről szóló törvény hazai szinten is kötelezővé teszi a 2050-es klímasemlegesség elérését, és előírja, hogy az ország ÜHG-kibocsátása 2030-</w:t>
      </w:r>
      <w:r w:rsidRPr="00CC3A1F">
        <w:lastRenderedPageBreak/>
        <w:t>ra legalább 40%-kal (a felülvizsgált tervek szerint 50%-ra emelve) csökkenjen az 1990-es bázisévhez képest</w:t>
      </w:r>
      <w:r>
        <w:rPr>
          <w:rStyle w:val="Lbjegyzet-hivatkozs"/>
        </w:rPr>
        <w:footnoteReference w:id="6"/>
      </w:r>
      <w:r w:rsidRPr="00CC3A1F">
        <w:t>.</w:t>
      </w:r>
    </w:p>
    <w:p w14:paraId="3D9F40E0" w14:textId="2CA47A6F" w:rsidR="00CC3A1F" w:rsidRDefault="00D12FC5" w:rsidP="00AF4DD6">
      <w:r w:rsidRPr="00D12FC5">
        <w:t>A II. Nemzeti Éghajlatváltozási Stratégia (NÉS-II) célkitűzései:</w:t>
      </w:r>
    </w:p>
    <w:p w14:paraId="0729826F" w14:textId="77777777" w:rsidR="00D12FC5" w:rsidRDefault="00D12FC5">
      <w:pPr>
        <w:pStyle w:val="Listaszerbekezds"/>
        <w:numPr>
          <w:ilvl w:val="0"/>
          <w:numId w:val="9"/>
        </w:numPr>
      </w:pPr>
      <w:r>
        <w:t>De-karbonizációs Alprogram: Támogatja a mezőgazdasági energiaracionalizálást, a fosszilis energiahordozók kiváltását megújuló energiával (pl. telepi napelemes rendszerek), valamint a technológiai ÜHG-kibocsátások csökkentését.</w:t>
      </w:r>
    </w:p>
    <w:p w14:paraId="5525016A" w14:textId="46A9A3BF" w:rsidR="00D12FC5" w:rsidRDefault="00D12FC5">
      <w:pPr>
        <w:pStyle w:val="Listaszerbekezds"/>
        <w:numPr>
          <w:ilvl w:val="0"/>
          <w:numId w:val="9"/>
        </w:numPr>
      </w:pPr>
      <w:r>
        <w:t>Nemzeti Alkalmazkodási Alprogram (NAA): Kiemelten kezeli a sérülékeny agrárágazatok felkészítését. Cél a mezőgazdasági infrastruktúra ellenálló képességének javítása a növekvő éves középhőmérséklet, a hőhullámok és a csapadékeloszlás szélsőségessé válása mellett</w:t>
      </w:r>
      <w:r>
        <w:rPr>
          <w:rStyle w:val="Lbjegyzet-hivatkozs"/>
        </w:rPr>
        <w:footnoteReference w:id="7"/>
      </w:r>
      <w:r>
        <w:t>.</w:t>
      </w:r>
    </w:p>
    <w:p w14:paraId="489FEFA2" w14:textId="5A1F7D52" w:rsidR="00D12FC5" w:rsidRDefault="00D12FC5" w:rsidP="00D12FC5">
      <w:r>
        <w:t>Nemzeti Energia- és Klímaterv (NEKT): A NEKT rögzíti, hogy a hazai mezőgazdaság ÜHG-kibocsátásának mérséklését elsősorban a precíziós gazdálkodás, a korszerű alacsony fehérjetartalmú, fázisos takarmányozás (metán- és nitrogén-visszafogás), valamint a hígtrágya-kezelési technológiák modernizációja, például a zárt, ponyvázott tárolók révén kell elérni</w:t>
      </w:r>
      <w:r w:rsidR="0001738C">
        <w:rPr>
          <w:rStyle w:val="Lbjegyzet-hivatkozs"/>
        </w:rPr>
        <w:footnoteReference w:id="8"/>
      </w:r>
      <w:r>
        <w:t>.</w:t>
      </w:r>
    </w:p>
    <w:p w14:paraId="2359FBB6" w14:textId="7C96CBF6" w:rsidR="00D12FC5" w:rsidRDefault="00D12FC5" w:rsidP="00D12FC5">
      <w:r>
        <w:t>KAP Stratégiai Terv (2023–2027): A Közös Agrárpolitika hazai végrehajtási terve kiemelt forrásokat biztosít és szigorú alapfeltételeket szab a környezet- és klímavédelmi szempontból fenntartható állattartó telepek fejlesztésére, fókuszálva a kibocsátás-csökkentésre, az állatjólétre és a telepi zöldfelületek növelésére védőfásítások révén</w:t>
      </w:r>
      <w:r w:rsidR="0001738C">
        <w:rPr>
          <w:rStyle w:val="Lbjegyzet-hivatkozs"/>
        </w:rPr>
        <w:footnoteReference w:id="9"/>
      </w:r>
      <w:r>
        <w:t>.</w:t>
      </w:r>
    </w:p>
    <w:p w14:paraId="7A0BE2E3" w14:textId="1F83EBFE" w:rsidR="00606479" w:rsidRDefault="0001738C" w:rsidP="0001738C">
      <w:pPr>
        <w:pStyle w:val="Cmsor2"/>
      </w:pPr>
      <w:bookmarkStart w:id="7" w:name="_Toc231161074"/>
      <w:r w:rsidRPr="0001738C">
        <w:t>Szakmai és módszertani háttéranyagok (Mezőgazdaság és BAT)</w:t>
      </w:r>
      <w:bookmarkEnd w:id="7"/>
    </w:p>
    <w:p w14:paraId="2803255C" w14:textId="77777777" w:rsidR="0001738C" w:rsidRDefault="0001738C" w:rsidP="0001738C">
      <w:r>
        <w:t>A konkrét telepi kibocsátások és elnyelések számításakor, valamint az intézkedések igazolásakor a hivatalos hazai és nemzetközi módszertani útmutatók jelentik a viszonyítási alapot.</w:t>
      </w:r>
    </w:p>
    <w:p w14:paraId="3FB68066" w14:textId="76660D2A" w:rsidR="0001738C" w:rsidRDefault="0001738C">
      <w:pPr>
        <w:pStyle w:val="Listaszerbekezds"/>
        <w:numPr>
          <w:ilvl w:val="0"/>
          <w:numId w:val="10"/>
        </w:numPr>
      </w:pPr>
      <w:r>
        <w:t>Elérhető Legjobb Technikák (BAT) Referenciadokumentum (IRPP BREF): Az intenzív baromfi- és sertéstenyésztésre vonatkozó BAT-követelmények kötelező célokat határoznak meg az ammónia- és ÜHG-kibocsátás csökkentésére. A cél az istállótechnológia (rácspadozat, lagúna), a takarmányozás és a hígtrágyatárolás olyan szintű integrációja, amely minimálisra csökkenti a környezeti terhelést</w:t>
      </w:r>
      <w:r w:rsidR="001C6715">
        <w:rPr>
          <w:rStyle w:val="Lbjegyzet-hivatkozs"/>
        </w:rPr>
        <w:footnoteReference w:id="10"/>
      </w:r>
      <w:r>
        <w:t>.</w:t>
      </w:r>
    </w:p>
    <w:p w14:paraId="01A9C2DE" w14:textId="4C04B165" w:rsidR="0001738C" w:rsidRDefault="0001738C">
      <w:pPr>
        <w:pStyle w:val="Listaszerbekezds"/>
        <w:numPr>
          <w:ilvl w:val="0"/>
          <w:numId w:val="10"/>
        </w:numPr>
      </w:pPr>
      <w:r>
        <w:t>Nemzetközi ÜHG-leltár módszertanok (IPCC és EMEP/EEA): A mezőgazdasági pont- és diffúz források (állati emésztés, trágyaerjedés, égetőberendezések) emissziós faktorait, a számítások átláthatóságát és pontosságát nemzetközi módszertani kézikönyvek rögzítik</w:t>
      </w:r>
      <w:r w:rsidR="001C6715">
        <w:rPr>
          <w:rStyle w:val="Lbjegyzet-hivatkozs"/>
        </w:rPr>
        <w:footnoteReference w:id="11"/>
      </w:r>
      <w:r>
        <w:t>.</w:t>
      </w:r>
    </w:p>
    <w:p w14:paraId="24F9FCB7" w14:textId="77E7A839" w:rsidR="0001738C" w:rsidRDefault="000B19AF" w:rsidP="00C1046D">
      <w:pPr>
        <w:pStyle w:val="Cmsor1"/>
      </w:pPr>
      <w:bookmarkStart w:id="8" w:name="_Toc231161075"/>
      <w:r w:rsidRPr="000B19AF">
        <w:lastRenderedPageBreak/>
        <w:t>Lokális klímavédelem és technológiai illeszkedés az engedélyezési eljárásban</w:t>
      </w:r>
      <w:bookmarkEnd w:id="8"/>
    </w:p>
    <w:p w14:paraId="4BDA635B" w14:textId="77777777" w:rsidR="000B19AF" w:rsidRPr="000B19AF" w:rsidRDefault="000B19AF" w:rsidP="000B19AF">
      <w:r w:rsidRPr="000B19AF">
        <w:t>A tiszaszőlősi sertéstelep és hígtrágyatároló esetében a lokális klímavédelem kérdésköre jelenti azt a közvetlen szintet, ahol a stratégiai célkitűzések kézzelfogható, a műszaki leírásban rögzített mérnöki megoldásokká alakulnak. A kiegészítés lényege annak bemutatása, hogy a beruházás a tervezett technológia által hogyan minimalizálja az éghajlatot terhelő hatásokat, és miként alkalmazkodik a mikroklíma változásaihoz.</w:t>
      </w:r>
    </w:p>
    <w:p w14:paraId="14227360" w14:textId="77777777" w:rsidR="000B19AF" w:rsidRPr="000B19AF" w:rsidRDefault="000B19AF" w:rsidP="000B19AF">
      <w:r w:rsidRPr="000B19AF">
        <w:t>A lokális klímavédelem az alábbi operatív pillérek mentén kapcsolódik a meglévő tervekhez:</w:t>
      </w:r>
    </w:p>
    <w:p w14:paraId="08B0F123" w14:textId="35C8A293" w:rsidR="000B19AF" w:rsidRPr="000B19AF" w:rsidRDefault="000B19AF">
      <w:pPr>
        <w:numPr>
          <w:ilvl w:val="0"/>
          <w:numId w:val="11"/>
        </w:numPr>
      </w:pPr>
      <w:r w:rsidRPr="000B19AF">
        <w:rPr>
          <w:b/>
          <w:bCs/>
        </w:rPr>
        <w:t>Helyszíni kibocsátás-csökkentés (Lokális mitigáció):</w:t>
      </w:r>
      <w:r w:rsidRPr="000B19AF">
        <w:t xml:space="preserve"> A telephely határain belül keletkező üvegházhatású gázok – különösen a metán (CH</w:t>
      </w:r>
      <w:r w:rsidRPr="000B19AF">
        <w:rPr>
          <w:vertAlign w:val="subscript"/>
        </w:rPr>
        <w:t>4</w:t>
      </w:r>
      <w:r w:rsidRPr="000B19AF">
        <w:t>) és a dinitrogén-monoxid (N</w:t>
      </w:r>
      <w:r w:rsidRPr="000B19AF">
        <w:rPr>
          <w:vertAlign w:val="subscript"/>
        </w:rPr>
        <w:t>2</w:t>
      </w:r>
      <w:r w:rsidRPr="000B19AF">
        <w:t>O) – kibocsátását közvetlenül a forrásnál korlátozza a tervezett technológia. A hígtrágyatároló műszaki leírás szerinti ponyvafedése, a zárt, vákuumos rendszerű trágyalagunák, valamint a fázisos takarmányozás alkalmazása közvetlenül és igazoltan mérsékli a légkörbe jutó gázok mennyiségét.</w:t>
      </w:r>
    </w:p>
    <w:p w14:paraId="071F753B" w14:textId="58DF3282" w:rsidR="000B19AF" w:rsidRPr="000B19AF" w:rsidRDefault="000B19AF">
      <w:pPr>
        <w:numPr>
          <w:ilvl w:val="0"/>
          <w:numId w:val="11"/>
        </w:numPr>
      </w:pPr>
      <w:r w:rsidRPr="000B19AF">
        <w:rPr>
          <w:b/>
          <w:bCs/>
        </w:rPr>
        <w:t>Mikroklíma-szintű alkalmazkodás (Lokális adaptáció):</w:t>
      </w:r>
      <w:r w:rsidRPr="000B19AF">
        <w:t xml:space="preserve"> A tervezett infrastruktúra felépítése biztosítja az ellenállóságot a növekvő számú nyári hőségnapokkal és hőhullámokkal szemben. Az istállóépületek magas szintű hőszigetelése (szendvicspanel szerkezetek), valamint a tervezett számítógép-vezérelt evaporatív hűtőpanelek (Cool-pad / RainMaker technológia) beépítése garantálja, hogy a telephely a kritikus nyári időszakokban is stabilan üzemeljen, fenntartva az állatjóléti feltételeket extrém külső hőmérsékletek esetén is.</w:t>
      </w:r>
    </w:p>
    <w:p w14:paraId="5CE0FDAC" w14:textId="27EE06A3" w:rsidR="000B19AF" w:rsidRDefault="000B19AF">
      <w:pPr>
        <w:numPr>
          <w:ilvl w:val="0"/>
          <w:numId w:val="11"/>
        </w:numPr>
      </w:pPr>
      <w:r w:rsidRPr="000B19AF">
        <w:rPr>
          <w:b/>
          <w:bCs/>
        </w:rPr>
        <w:t>A helyi szénmegkötő kapacitás megőrzése és növelése:</w:t>
      </w:r>
      <w:r w:rsidRPr="000B19AF">
        <w:t xml:space="preserve"> Mivel a beruházás egy korábbi, használaton kívüli állattartó major felújításával (barnamezős fejlesztésként) valósul meg, a természetes szén-dioxid-elnyelő felületek (pl. erdők) felszámolásával járó klímakockázat nem áll fenn. A 0244 hrsz. alatti Gip-2 övezetben a tervezett zöldfelületi arány magasan a szabályozási minimum felett marad (59,34</w:t>
      </w:r>
      <w:r w:rsidR="008D745C">
        <w:t xml:space="preserve"> </w:t>
      </w:r>
      <w:r w:rsidRPr="000B19AF">
        <w:t>%, azaz 15 205,33 m²), míg a szomszédos 0242/2 hrsz. alatti Má-1 övezetben a terület 90,40</w:t>
      </w:r>
      <w:r w:rsidR="008D745C">
        <w:t xml:space="preserve"> </w:t>
      </w:r>
      <w:r w:rsidRPr="000B19AF">
        <w:t>%-a (10 928,90 m²) zöldfelületként funkcionál. A telekhatárok mentén megvalósuló többszintes (gyep, cserje, fásszárúak) védőfásítás és biológiai felületnövelés közvetlen helyi szén-dioxid-megkötő kapacitást hoz létre, aktívan javítva a közvetlen környezet mikroklímáját</w:t>
      </w:r>
      <w:r w:rsidR="009C77B2">
        <w:rPr>
          <w:rStyle w:val="Lbjegyzet-hivatkozs"/>
        </w:rPr>
        <w:footnoteReference w:id="12"/>
      </w:r>
      <w:r w:rsidRPr="000B19AF">
        <w:t>.</w:t>
      </w:r>
    </w:p>
    <w:p w14:paraId="2755D2CF" w14:textId="08504FC5" w:rsidR="000B19AF" w:rsidRDefault="00200F08" w:rsidP="00F703CB">
      <w:pPr>
        <w:pStyle w:val="Cmsor1"/>
      </w:pPr>
      <w:bookmarkStart w:id="9" w:name="_Toc231161076"/>
      <w:r>
        <w:t>A telephely energetikai és gépészeti rendszereinek klímavédelmi lehatárolása</w:t>
      </w:r>
      <w:bookmarkEnd w:id="9"/>
    </w:p>
    <w:p w14:paraId="0780192A" w14:textId="11ED150E" w:rsidR="005F3A2D" w:rsidRDefault="005F3A2D" w:rsidP="005F3A2D">
      <w:pPr>
        <w:pStyle w:val="Cmsor2"/>
      </w:pPr>
      <w:bookmarkStart w:id="10" w:name="_Toc231161077"/>
      <w:r>
        <w:t>Az istállótechnológia állandó villamosenergia-fogyasztói</w:t>
      </w:r>
      <w:bookmarkEnd w:id="10"/>
    </w:p>
    <w:p w14:paraId="7E2CBB65" w14:textId="5852220B" w:rsidR="00200F08" w:rsidRDefault="005F3A2D" w:rsidP="005F3A2D">
      <w:r>
        <w:t xml:space="preserve">A tervezett tiszaszőlősi sertéstelep üzemeltetése során a közvetlen helyszíni fosszilis tüzelőanyag-égetés minimalizálása érdekében a technológiai folyamatok túlnyomó többsége villamos energiára épül. Ez a mérnöki megközelítés klímavédelmi szempontból azt jelenti, hogy a folyamatos telepi </w:t>
      </w:r>
      <w:r>
        <w:lastRenderedPageBreak/>
        <w:t>alapüzem nem generál közvetlen (Scope 1) pontforrási szén-dioxid-kibocsátást, az energiafelhasználás hatásai kizárólag a vásárolt villamos energiához kapcsolódó közvetett (Scope 2) kibocsátási kategóriában jelennek meg.</w:t>
      </w:r>
    </w:p>
    <w:p w14:paraId="18C6DA3B" w14:textId="3A8FEB96" w:rsidR="005F3A2D" w:rsidRDefault="005F3A2D" w:rsidP="005F3A2D">
      <w:pPr>
        <w:pStyle w:val="Cmsor3"/>
      </w:pPr>
      <w:bookmarkStart w:id="11" w:name="_Toc231161078"/>
      <w:r w:rsidRPr="005F3A2D">
        <w:t>Légtechnika: Big Dutchman CL-600 elszívó kürtők és FF063-6DT/FF-63-6ET ventilátorok rendszere</w:t>
      </w:r>
      <w:bookmarkEnd w:id="11"/>
    </w:p>
    <w:p w14:paraId="0E94BCAE" w14:textId="06E2F10B" w:rsidR="005F3A2D" w:rsidRDefault="005F3A2D" w:rsidP="005F3A2D">
      <w:r w:rsidRPr="005F3A2D">
        <w:t>Az istállók belső mikroklímájának biztosítása, a technológiai pára, szén-dioxid, ammónia és egyéb gázok elvezetése kényszerszellőztetéssel valósul meg. A rendszer gerincét a tetőgerincbe integrált elszívó kürtők és a bennük elhelyezett nagyteljesítményű, frekvenciaváltóval szabályozható ventilátorok alkotják.</w:t>
      </w:r>
    </w:p>
    <w:p w14:paraId="772AECFD" w14:textId="77777777" w:rsidR="005F3A2D" w:rsidRDefault="005F3A2D" w:rsidP="005F3A2D">
      <w:r w:rsidRPr="005F3A2D">
        <w:rPr>
          <w:b/>
          <w:bCs/>
        </w:rPr>
        <w:t>A rendszer kiépítése és kapacitása:</w:t>
      </w:r>
      <w:r w:rsidRPr="005F3A2D">
        <w:t xml:space="preserve"> </w:t>
      </w:r>
    </w:p>
    <w:p w14:paraId="1FADEEE3" w14:textId="4AFC533F" w:rsidR="005F3A2D" w:rsidRPr="005F3A2D" w:rsidRDefault="005F3A2D" w:rsidP="005F3A2D">
      <w:r w:rsidRPr="005F3A2D">
        <w:t xml:space="preserve">Az épületenkénti klíma-szellőzéstechnikai adatok alapján istállónként 14 db, a teljes telepen (4 db 2x650 férőhelyes hízlalda épületben) összesen 56 db </w:t>
      </w:r>
      <w:r w:rsidRPr="005F3A2D">
        <w:rPr>
          <w:b/>
          <w:bCs/>
        </w:rPr>
        <w:t>Big Dutchman CL-600</w:t>
      </w:r>
      <w:r w:rsidRPr="005F3A2D">
        <w:t xml:space="preserve"> típusú elszívó kürtő kerül beépítésre. A friss levegő utánpótlását épületenként 124 db, mindösszesen 496 db CL-1211 típusú falba épített légbeejtő egység biztosítja, melyek egyenként 1450</w:t>
      </w:r>
      <w:r w:rsidR="00817CFC">
        <w:t xml:space="preserve"> </w:t>
      </w:r>
      <w:r w:rsidRPr="005F3A2D">
        <w:t>m</w:t>
      </w:r>
      <w:r w:rsidRPr="00817CFC">
        <w:rPr>
          <w:vertAlign w:val="superscript"/>
        </w:rPr>
        <w:t>3</w:t>
      </w:r>
      <w:r w:rsidR="00817CFC">
        <w:t>/</w:t>
      </w:r>
      <w:r w:rsidRPr="005F3A2D">
        <w:t>h légszállítási kapacitással rendelkeznek.</w:t>
      </w:r>
    </w:p>
    <w:p w14:paraId="609F2B40" w14:textId="77777777" w:rsidR="00A47740" w:rsidRDefault="005F3A2D" w:rsidP="005F3A2D">
      <w:r w:rsidRPr="005F3A2D">
        <w:rPr>
          <w:b/>
          <w:bCs/>
        </w:rPr>
        <w:t>Ventilátorok műszaki paraméterei és villamosigénye:</w:t>
      </w:r>
      <w:r w:rsidRPr="005F3A2D">
        <w:t xml:space="preserve"> </w:t>
      </w:r>
    </w:p>
    <w:p w14:paraId="6EB249F6" w14:textId="7E9621E4" w:rsidR="005F3A2D" w:rsidRPr="005F3A2D" w:rsidRDefault="005F3A2D" w:rsidP="005F3A2D">
      <w:r w:rsidRPr="005F3A2D">
        <w:t xml:space="preserve">A CL-600-as kürtőkbe </w:t>
      </w:r>
      <w:r w:rsidRPr="005F3A2D">
        <w:rPr>
          <w:b/>
          <w:bCs/>
        </w:rPr>
        <w:t>FF063-6DT</w:t>
      </w:r>
      <w:r w:rsidRPr="005F3A2D">
        <w:t xml:space="preserve"> (illetve a zajkibocsátási adatsorban jelölt </w:t>
      </w:r>
      <w:r w:rsidRPr="005F3A2D">
        <w:rPr>
          <w:b/>
          <w:bCs/>
        </w:rPr>
        <w:t>FF-63-6ET</w:t>
      </w:r>
      <w:r w:rsidRPr="005F3A2D">
        <w:t xml:space="preserve"> alternatívájú) háromfázisú csőszerelésű ventilátorok kerülnek beépítésre. A gyártói specifikáció szerint egy-egy egység névleges elektromos teljesítménye </w:t>
      </w:r>
      <w:r w:rsidRPr="005F3A2D">
        <w:rPr>
          <w:b/>
          <w:bCs/>
        </w:rPr>
        <w:t>0,54 kW</w:t>
      </w:r>
      <w:r w:rsidRPr="005F3A2D">
        <w:t>, névleges feszültsége 230/400 V (Y/D kapcsolásban), névleges áramfelvétele pedig 2,2/1,25 A. Egy ventilátor maximális légszállítása 12</w:t>
      </w:r>
      <w:r w:rsidR="003D2028">
        <w:t xml:space="preserve"> </w:t>
      </w:r>
      <w:r w:rsidRPr="005F3A2D">
        <w:t>m</w:t>
      </w:r>
      <w:r w:rsidRPr="003D2028">
        <w:rPr>
          <w:vertAlign w:val="superscript"/>
        </w:rPr>
        <w:t>3</w:t>
      </w:r>
      <w:r w:rsidR="003D2028">
        <w:t>/</w:t>
      </w:r>
      <w:r w:rsidRPr="005F3A2D">
        <w:t>h – a gyártói adatlapon rögzített névleges érték szerint 12</w:t>
      </w:r>
      <w:r w:rsidR="003D2028">
        <w:t> </w:t>
      </w:r>
      <w:r w:rsidRPr="005F3A2D">
        <w:t>900</w:t>
      </w:r>
      <w:r w:rsidR="003D2028">
        <w:t xml:space="preserve"> </w:t>
      </w:r>
      <w:r w:rsidRPr="005F3A2D">
        <w:t>m</w:t>
      </w:r>
      <w:r w:rsidRPr="003D2028">
        <w:rPr>
          <w:vertAlign w:val="superscript"/>
        </w:rPr>
        <w:t>3</w:t>
      </w:r>
      <w:r w:rsidRPr="005F3A2D">
        <w:t>/</w:t>
      </w:r>
      <w:r w:rsidR="003D2028">
        <w:t>h.</w:t>
      </w:r>
    </w:p>
    <w:p w14:paraId="3F2A6C32" w14:textId="77777777" w:rsidR="00A47740" w:rsidRDefault="005F3A2D" w:rsidP="005F3A2D">
      <w:r w:rsidRPr="005F3A2D">
        <w:rPr>
          <w:b/>
          <w:bCs/>
        </w:rPr>
        <w:t>Klímavédelmi és energetikai relevancia:</w:t>
      </w:r>
      <w:r w:rsidRPr="005F3A2D">
        <w:t xml:space="preserve"> </w:t>
      </w:r>
    </w:p>
    <w:p w14:paraId="48CC57DB" w14:textId="554B272A" w:rsidR="005F3A2D" w:rsidRPr="005F3A2D" w:rsidRDefault="005F3A2D" w:rsidP="005F3A2D">
      <w:r w:rsidRPr="005F3A2D">
        <w:t>A ventilátorok összteljesítménye a telepen:</w:t>
      </w:r>
    </w:p>
    <w:p w14:paraId="410C2666" w14:textId="5ECAF5ED" w:rsidR="005F3A2D" w:rsidRDefault="00A47740" w:rsidP="00A47740">
      <w:pPr>
        <w:jc w:val="center"/>
      </w:pPr>
      <w:r>
        <w:t>56 * 0,54 kW = 30,24 kW</w:t>
      </w:r>
    </w:p>
    <w:p w14:paraId="16DAE6AC" w14:textId="3C583AD0" w:rsidR="005F3A2D" w:rsidRDefault="00A47740" w:rsidP="005F3A2D">
      <w:r w:rsidRPr="00A47740">
        <w:t>A beépített frekvenciaváltós vezérlés (FC/Triac fokozatmentes szabályozás) lehetővé teszi, hogy a ventilátorok ne folyamatosan maximális fordulatszámon üzemeljenek, hanem a külső-belső hőmérséklet függvényében, akár 15%-os részterhelésen és csökkentett áramfelvétel mellett működjenek. Ez a dinamikus teljesítmény-szabályozás jelentősen mérsékli a telep éves Scope 2 villamosenergia-felhasználását.</w:t>
      </w:r>
    </w:p>
    <w:p w14:paraId="596330C8" w14:textId="0C361954" w:rsidR="005F3A2D" w:rsidRDefault="00A47740" w:rsidP="00A47740">
      <w:pPr>
        <w:pStyle w:val="Cmsor3"/>
      </w:pPr>
      <w:bookmarkStart w:id="12" w:name="_Toc231161079"/>
      <w:r w:rsidRPr="00A47740">
        <w:t>Takarmányozás és itatás: Automata csővezetékek és szelepes rendszerek villamos hajtásai</w:t>
      </w:r>
      <w:bookmarkEnd w:id="12"/>
    </w:p>
    <w:p w14:paraId="5E50C339" w14:textId="77777777" w:rsidR="00B96B0E" w:rsidRPr="00B96B0E" w:rsidRDefault="00B96B0E" w:rsidP="00B96B0E">
      <w:r w:rsidRPr="00B96B0E">
        <w:t>A hizlalási technológia napi szintű kiszolgálása (etetés, itatás, technológiai szállítás) teljesen zárt, automatizált, mechanikus és pneumatikus elemeket tartalmazó hálózatokon keresztül történik, gépkezelői felügyelettel, de közvetlen fosszilis energia felhasználása nélkül.</w:t>
      </w:r>
    </w:p>
    <w:p w14:paraId="6B9F8C11" w14:textId="77777777" w:rsidR="00B96B0E" w:rsidRDefault="00B96B0E" w:rsidP="00B96B0E">
      <w:r w:rsidRPr="00B96B0E">
        <w:rPr>
          <w:b/>
          <w:bCs/>
        </w:rPr>
        <w:t>Takarmánytárolás és kitárolás:</w:t>
      </w:r>
      <w:r w:rsidRPr="00B96B0E">
        <w:t xml:space="preserve"> </w:t>
      </w:r>
    </w:p>
    <w:p w14:paraId="5B5E4B21" w14:textId="1F616F20" w:rsidR="00B96B0E" w:rsidRPr="00B96B0E" w:rsidRDefault="00B96B0E" w:rsidP="00B96B0E">
      <w:r w:rsidRPr="00B96B0E">
        <w:t>A takarmány fogadása és tárolása horganyzott acéllemezből készült, bordázott kivitelű kültéri takarmánytároló silókban történik. A silók bordázott palástja szerkezetileg javítja a napsugarak visszaverését, mérsékelve a siló belső felmelegedését, védve a takarmány minőségét. A silók garatjához csatlakozó elektromos meghajtású szállítócsigák juttatják el a takarmányt az istállókba.</w:t>
      </w:r>
    </w:p>
    <w:p w14:paraId="1F012820" w14:textId="77777777" w:rsidR="00B96B0E" w:rsidRDefault="00B96B0E" w:rsidP="00B96B0E">
      <w:r w:rsidRPr="00B96B0E">
        <w:rPr>
          <w:b/>
          <w:bCs/>
        </w:rPr>
        <w:t>Automata szárazetetési rendszer:</w:t>
      </w:r>
      <w:r w:rsidRPr="00B96B0E">
        <w:t xml:space="preserve"> </w:t>
      </w:r>
    </w:p>
    <w:p w14:paraId="4B7520A2" w14:textId="0A6D09E0" w:rsidR="00B96B0E" w:rsidRPr="00B96B0E" w:rsidRDefault="00B96B0E" w:rsidP="00B96B0E">
      <w:r w:rsidRPr="00B96B0E">
        <w:lastRenderedPageBreak/>
        <w:t xml:space="preserve">Az épületeken belül </w:t>
      </w:r>
      <w:r w:rsidRPr="00B96B0E">
        <w:rPr>
          <w:b/>
          <w:bCs/>
        </w:rPr>
        <w:t>Big Dutchman</w:t>
      </w:r>
      <w:r w:rsidRPr="00B96B0E">
        <w:t xml:space="preserve"> típusú automata szárazetetési technológia üzemel. A rendszer az állatok korának és tömegének megfelelő fázisos takarmányozást biztosítja. Az eledel istállón belüli szétosztását villanymotorokkal hajtott láncos vagy spirálos csővezetékek végzik, amelyek az adagolóknál automatikusan reteszelnek, minimalizálva a technológiai veszteséget és optimalizálva az elektromos áram felhasználását.</w:t>
      </w:r>
    </w:p>
    <w:p w14:paraId="11E3FDBD" w14:textId="77777777" w:rsidR="00B96B0E" w:rsidRDefault="00B96B0E" w:rsidP="00B96B0E">
      <w:r w:rsidRPr="00B96B0E">
        <w:rPr>
          <w:b/>
          <w:bCs/>
        </w:rPr>
        <w:t>Itatórendszer és gyógyszeradagolás:</w:t>
      </w:r>
      <w:r w:rsidRPr="00B96B0E">
        <w:t xml:space="preserve"> </w:t>
      </w:r>
    </w:p>
    <w:p w14:paraId="6771B30D" w14:textId="34AFB9A8" w:rsidR="00B96B0E" w:rsidRPr="00B96B0E" w:rsidRDefault="00B96B0E" w:rsidP="00B96B0E">
      <w:r w:rsidRPr="00B96B0E">
        <w:t xml:space="preserve">Az állatok friss ivóvízzel való ellátása higiénikus, szelepes önitatókkal felszerelt csőhálózaton keresztül történik. A hálózatba integrálásra kerül egy precíziós </w:t>
      </w:r>
      <w:r w:rsidRPr="00B96B0E">
        <w:rPr>
          <w:b/>
          <w:bCs/>
        </w:rPr>
        <w:t>Dosatron</w:t>
      </w:r>
      <w:r w:rsidRPr="00B96B0E">
        <w:t xml:space="preserve"> típusú arányos gyógyszeradagoló berendezés is, amely tisztán a rajta átáramló víz térfogat-áramának mechanikai energiáját (víznyomást) használja fel a dugattyús működtetéshez és a vegyszerek/fertőtlenítőszerek pontos felszívásához, így működéséhez külső villamos energiát vagy segédenergiát egyáltalán nem igényel.</w:t>
      </w:r>
    </w:p>
    <w:p w14:paraId="4E5CABAA" w14:textId="6870F39B" w:rsidR="00A47740" w:rsidRDefault="0001544F" w:rsidP="0001544F">
      <w:pPr>
        <w:pStyle w:val="Cmsor2"/>
      </w:pPr>
      <w:bookmarkStart w:id="13" w:name="_Toc231161080"/>
      <w:r w:rsidRPr="0001544F">
        <w:t>Épületklimatizálási és szociális rendszerek energiaellátása</w:t>
      </w:r>
      <w:bookmarkEnd w:id="13"/>
    </w:p>
    <w:p w14:paraId="124F8417" w14:textId="30772168" w:rsidR="005F3A2D" w:rsidRDefault="0001544F" w:rsidP="005F3A2D">
      <w:r w:rsidRPr="0001544F">
        <w:t>A telephely humán-infrastrukturális, járványvédelmi és kiegészítő kiszolgáló egységei – a gazdaságos és környezetbarát üzemeltetési elveket követve – szintén teljes mértékben fosszilismentes, villamosenergia-alapú gépészeti megoldásokkal vannak tervezve. Ezen rendszerek működése nem jár helyszíni égéstermék-kibocsátással.</w:t>
      </w:r>
    </w:p>
    <w:p w14:paraId="686D5AE6" w14:textId="575916EB" w:rsidR="005F3A2D" w:rsidRDefault="00E4799F" w:rsidP="00E4799F">
      <w:pPr>
        <w:pStyle w:val="Cmsor3"/>
      </w:pPr>
      <w:bookmarkStart w:id="14" w:name="_Toc231161081"/>
      <w:r w:rsidRPr="00E4799F">
        <w:t>A szociális épület hűtő-fűtő klímaberendezései és elektromos HMV-bojlerei</w:t>
      </w:r>
      <w:bookmarkEnd w:id="14"/>
    </w:p>
    <w:p w14:paraId="2CFCC34A" w14:textId="77777777" w:rsidR="00E4799F" w:rsidRPr="00E4799F" w:rsidRDefault="00E4799F" w:rsidP="00E4799F">
      <w:r w:rsidRPr="00E4799F">
        <w:t>A telephelyen létesülő szociális épület a dolgozók és a látogatók kiszolgálását, valamint a szigorú fekete-fehér öltözői rendszer fenntartásával a telepi biológiai biztonság (szigorú beléptetés) alapjait biztosítja.</w:t>
      </w:r>
    </w:p>
    <w:p w14:paraId="77DCC71F" w14:textId="0BBC1BE0" w:rsidR="00E4799F" w:rsidRPr="00E4799F" w:rsidRDefault="00E4799F">
      <w:pPr>
        <w:numPr>
          <w:ilvl w:val="0"/>
          <w:numId w:val="12"/>
        </w:numPr>
      </w:pPr>
      <w:r w:rsidRPr="00E4799F">
        <w:rPr>
          <w:b/>
          <w:bCs/>
        </w:rPr>
        <w:t>Építészeti paraméterek:</w:t>
      </w:r>
      <w:r w:rsidRPr="00E4799F">
        <w:t xml:space="preserve"> A szociális épület </w:t>
      </w:r>
      <w:r w:rsidRPr="00E4799F">
        <w:rPr>
          <w:b/>
          <w:bCs/>
        </w:rPr>
        <w:t>345,42 m²</w:t>
      </w:r>
      <w:r w:rsidRPr="00E4799F">
        <w:t xml:space="preserve"> hasznos alapterülettel valósul meg.</w:t>
      </w:r>
    </w:p>
    <w:p w14:paraId="6BCFD6E9" w14:textId="5D6C2DF4" w:rsidR="00E4799F" w:rsidRPr="00E4799F" w:rsidRDefault="00E4799F">
      <w:pPr>
        <w:numPr>
          <w:ilvl w:val="0"/>
          <w:numId w:val="12"/>
        </w:numPr>
      </w:pPr>
      <w:r w:rsidRPr="00E4799F">
        <w:rPr>
          <w:b/>
          <w:bCs/>
        </w:rPr>
        <w:t>Fűtési és klimatizálási technológia:</w:t>
      </w:r>
      <w:r w:rsidRPr="00E4799F">
        <w:t xml:space="preserve"> Az épületben sem földgáz-, sem PB-gázhálózat, sem központi biomassza-kazán nem épül. A téli fűtési igények kielégítése, valamint a nyári időszakban szükséges komfort-klimatizálás (hűtés) teljes egészében helyiségenkénti, elektromos üzemű, levegő-levegő hőszivattyús elven működő </w:t>
      </w:r>
      <w:r w:rsidRPr="00E4799F">
        <w:rPr>
          <w:b/>
          <w:bCs/>
        </w:rPr>
        <w:t>hűtő-fűtő klímaberendezésekkel</w:t>
      </w:r>
      <w:r w:rsidRPr="00E4799F">
        <w:t xml:space="preserve"> tervezett.</w:t>
      </w:r>
    </w:p>
    <w:p w14:paraId="1F74A328" w14:textId="77777777" w:rsidR="00E4799F" w:rsidRPr="00E4799F" w:rsidRDefault="00E4799F">
      <w:pPr>
        <w:numPr>
          <w:ilvl w:val="0"/>
          <w:numId w:val="12"/>
        </w:numPr>
      </w:pPr>
      <w:r w:rsidRPr="00E4799F">
        <w:rPr>
          <w:b/>
          <w:bCs/>
        </w:rPr>
        <w:t>Használati melegvíz-ellátás (HMV):</w:t>
      </w:r>
      <w:r w:rsidRPr="00E4799F">
        <w:t xml:space="preserve"> A fekete-fehér zónás tisztasági tisztálkodó blokkok (zuhanyzók), valamint a konyhai és kézmosási melegvíz-igények kiszolgálására helyi, szintén tisztán villamos energiával táplált </w:t>
      </w:r>
      <w:r w:rsidRPr="00E4799F">
        <w:rPr>
          <w:b/>
          <w:bCs/>
        </w:rPr>
        <w:t>elektromos melegvíz-tárolók (bojlerek)</w:t>
      </w:r>
      <w:r w:rsidRPr="00E4799F">
        <w:t xml:space="preserve"> kerülnek elhelyezésre.</w:t>
      </w:r>
    </w:p>
    <w:p w14:paraId="58A3E868" w14:textId="77777777" w:rsidR="00E4799F" w:rsidRPr="00E4799F" w:rsidRDefault="00E4799F">
      <w:pPr>
        <w:numPr>
          <w:ilvl w:val="0"/>
          <w:numId w:val="12"/>
        </w:numPr>
      </w:pPr>
      <w:r w:rsidRPr="00E4799F">
        <w:rPr>
          <w:b/>
          <w:bCs/>
        </w:rPr>
        <w:t>Klímavédelmi aspektus:</w:t>
      </w:r>
      <w:r w:rsidRPr="00E4799F">
        <w:t xml:space="preserve"> Mivel a szociális blokk fűtési- és HMV-energiaellátása nem kötődik helyszíni szénhidrogén-égetéshez, a telephely direkt Scope 1 ÜHG-mérlegét ez a funkció nem terheli.</w:t>
      </w:r>
    </w:p>
    <w:p w14:paraId="021464E8" w14:textId="29515D3C" w:rsidR="0001544F" w:rsidRDefault="00E4799F" w:rsidP="00E4799F">
      <w:pPr>
        <w:pStyle w:val="Cmsor3"/>
      </w:pPr>
      <w:bookmarkStart w:id="15" w:name="_Toc231161082"/>
      <w:r w:rsidRPr="00E4799F">
        <w:t>A hullatároló és boncoló konténer (Euratainer / Mobilbox MR20) időszakos elektromos hűtése-fűtése</w:t>
      </w:r>
      <w:bookmarkEnd w:id="15"/>
    </w:p>
    <w:p w14:paraId="511F5021" w14:textId="77777777" w:rsidR="00E4799F" w:rsidRPr="00E4799F" w:rsidRDefault="00E4799F" w:rsidP="00E4799F">
      <w:r w:rsidRPr="00E4799F">
        <w:t>Az elhullott állati tetemek szakszerű, elszállításig történő tárolása és a hatósági állatorvosi vizsgálatok (boncolás) helyszíne a telepi járványvédelmi kerítésvonalba integrált hullatároló és boncoló blokk.</w:t>
      </w:r>
    </w:p>
    <w:p w14:paraId="3951DE9A" w14:textId="3906B9CA" w:rsidR="00E4799F" w:rsidRPr="00E4799F" w:rsidRDefault="00E4799F">
      <w:pPr>
        <w:numPr>
          <w:ilvl w:val="0"/>
          <w:numId w:val="13"/>
        </w:numPr>
      </w:pPr>
      <w:r w:rsidRPr="00E4799F">
        <w:rPr>
          <w:b/>
          <w:bCs/>
        </w:rPr>
        <w:t>Technológiai kiépítés és működés:</w:t>
      </w:r>
      <w:r w:rsidRPr="00E4799F">
        <w:t xml:space="preserve"> A létesítményben egy zárt, boncoló és hullatároló konténer kerül elhelyezésre. A technológia jellegéből adódóan ebben a struktúrában állandó </w:t>
      </w:r>
      <w:r w:rsidRPr="00E4799F">
        <w:lastRenderedPageBreak/>
        <w:t>emberi tartózkodás nem lesz, így folyamatos hőtartást sem igényel; a beépített gépészet üzemeltetése időszakos, kizárólag a használati és tárolási periódusokra korlátozódik.</w:t>
      </w:r>
    </w:p>
    <w:p w14:paraId="14D580E8" w14:textId="2FDBFE8F" w:rsidR="00E4799F" w:rsidRPr="00E4799F" w:rsidRDefault="00E4799F">
      <w:pPr>
        <w:numPr>
          <w:ilvl w:val="0"/>
          <w:numId w:val="13"/>
        </w:numPr>
      </w:pPr>
      <w:r w:rsidRPr="00E4799F">
        <w:rPr>
          <w:b/>
          <w:bCs/>
        </w:rPr>
        <w:t>Hűtő-fűtő berendezések:</w:t>
      </w:r>
      <w:r w:rsidRPr="00E4799F">
        <w:t xml:space="preserve"> A konténer belső terének klimatizálását és a tetemek bomlási folyamatainak megakadályozásához szükséges alacsony hőmérsékletet egy speciális, elektromos működtetésű hűtő-fűtő klímarendszer biztosítja</w:t>
      </w:r>
      <w:r w:rsidR="00142386">
        <w:t>.</w:t>
      </w:r>
    </w:p>
    <w:p w14:paraId="5DBEF848" w14:textId="450B844B" w:rsidR="00E4799F" w:rsidRPr="00E4799F" w:rsidRDefault="00E4799F">
      <w:pPr>
        <w:numPr>
          <w:ilvl w:val="0"/>
          <w:numId w:val="13"/>
        </w:numPr>
      </w:pPr>
      <w:r w:rsidRPr="00E4799F">
        <w:rPr>
          <w:b/>
          <w:bCs/>
        </w:rPr>
        <w:t>A hullahűtő (Euratainer) műszaki adatai:</w:t>
      </w:r>
      <w:r w:rsidRPr="00E4799F">
        <w:t xml:space="preserve"> A tetemek tárolására szolgáló </w:t>
      </w:r>
      <w:r w:rsidRPr="00E4799F">
        <w:rPr>
          <w:b/>
          <w:bCs/>
        </w:rPr>
        <w:t>Euratainer</w:t>
      </w:r>
      <w:r w:rsidRPr="00E4799F">
        <w:t xml:space="preserve"> hűtőegység fala 6 cm vastagságú, kiváló hőszigetelő képességű poliészterből készül, melynek hőátbocsátási tényezője mindössze </w:t>
      </w:r>
      <w:r w:rsidRPr="00E4799F">
        <w:rPr>
          <w:b/>
          <w:bCs/>
        </w:rPr>
        <w:t>0,323 W/m²K</w:t>
      </w:r>
      <w:r w:rsidRPr="00E4799F">
        <w:t xml:space="preserve">. A beépített automata termosztát folyamatosan </w:t>
      </w:r>
      <w:r w:rsidRPr="00E4799F">
        <w:rPr>
          <w:b/>
          <w:bCs/>
        </w:rPr>
        <w:t>4 °C és 8 °C között</w:t>
      </w:r>
      <w:r w:rsidRPr="00E4799F">
        <w:t xml:space="preserve"> tartja a belső hőmérsékletet. A berendezés hűtőaggregátja tisztán elektromos hálózati csatlakozású, plug-and-play rendszerű, névleges fogyasztása a folyamatos szabályozásnak köszönhetően alacsony szinten tartható.</w:t>
      </w:r>
    </w:p>
    <w:p w14:paraId="53DFD807" w14:textId="142687A7" w:rsidR="0001544F" w:rsidRDefault="00142386" w:rsidP="00142386">
      <w:pPr>
        <w:pStyle w:val="Cmsor3"/>
      </w:pPr>
      <w:bookmarkStart w:id="16" w:name="_Toc231161083"/>
      <w:r w:rsidRPr="00142386">
        <w:t>Konténeres kútvízkezelő rendszer és nyomásfokozók villamosigénye</w:t>
      </w:r>
      <w:bookmarkEnd w:id="16"/>
    </w:p>
    <w:p w14:paraId="0C65CA94" w14:textId="77777777" w:rsidR="000E6E35" w:rsidRPr="000E6E35" w:rsidRDefault="000E6E35" w:rsidP="000E6E35">
      <w:r w:rsidRPr="000E6E35">
        <w:t>A modern állattartó telep nagy mennyiségű, higiéniailag kifogástalan technológiai és ivóvíz-ellátást igényel, melyet a helyszínen fúrt saját kútból, helyi tisztító- és nyomásfokozó technológia közbeiktatásával biztosítanak.</w:t>
      </w:r>
    </w:p>
    <w:p w14:paraId="38194AF6" w14:textId="549248E6" w:rsidR="000E6E35" w:rsidRPr="000E6E35" w:rsidRDefault="000E6E35">
      <w:pPr>
        <w:numPr>
          <w:ilvl w:val="0"/>
          <w:numId w:val="14"/>
        </w:numPr>
      </w:pPr>
      <w:r w:rsidRPr="000E6E35">
        <w:rPr>
          <w:b/>
          <w:bCs/>
        </w:rPr>
        <w:t>A tisztítási technológia:</w:t>
      </w:r>
      <w:r w:rsidRPr="000E6E35">
        <w:t xml:space="preserve"> A telepen felállításra kerül egy </w:t>
      </w:r>
      <w:r w:rsidRPr="000E6E35">
        <w:rPr>
          <w:b/>
          <w:bCs/>
        </w:rPr>
        <w:t>HIDROFILT</w:t>
      </w:r>
      <w:r w:rsidRPr="000E6E35">
        <w:t xml:space="preserve"> típusú, egyedi gyártású, CE minősítéssel rendelkező, komplett </w:t>
      </w:r>
      <w:r w:rsidRPr="000E6E35">
        <w:rPr>
          <w:b/>
          <w:bCs/>
        </w:rPr>
        <w:t>konténeres kialakítású kútvízkezelő rendszer</w:t>
      </w:r>
      <w:r w:rsidRPr="000E6E35">
        <w:t xml:space="preserve">, melynek névleges kapacitása </w:t>
      </w:r>
      <w:r w:rsidRPr="000E6E35">
        <w:rPr>
          <w:b/>
          <w:bCs/>
        </w:rPr>
        <w:t>3,5 m³/h</w:t>
      </w:r>
      <w:r w:rsidRPr="000E6E35">
        <w:t>.</w:t>
      </w:r>
    </w:p>
    <w:p w14:paraId="3D5D85E0" w14:textId="77777777" w:rsidR="000E6E35" w:rsidRPr="000E6E35" w:rsidRDefault="000E6E35">
      <w:pPr>
        <w:numPr>
          <w:ilvl w:val="0"/>
          <w:numId w:val="14"/>
        </w:numPr>
      </w:pPr>
      <w:r w:rsidRPr="000E6E35">
        <w:rPr>
          <w:b/>
          <w:bCs/>
        </w:rPr>
        <w:t>Főbb villamosenergia-fogyasztók a vízkezelésben:</w:t>
      </w:r>
      <w:r w:rsidRPr="000E6E35">
        <w:t xml:space="preserve"> A konténeren belül elhelyezett nyersvíz-szivattyúk, a vastalanító és mangánmentesítő szűrők automatikus visszamosató szelepei, az adagolástechnikai vegyszerpumpák, valamint a telepi gerinchálózatot megtápláló, frekvenciaváltós vezérlésű </w:t>
      </w:r>
      <w:r w:rsidRPr="000E6E35">
        <w:rPr>
          <w:b/>
          <w:bCs/>
        </w:rPr>
        <w:t>hidrofor tisztavíz-nyomásfokozó szivattyúk</w:t>
      </w:r>
      <w:r w:rsidRPr="000E6E35">
        <w:t xml:space="preserve"> jelentős és folyamatos elektromos terhelést jelentenek a telep belső hálózatán.</w:t>
      </w:r>
    </w:p>
    <w:p w14:paraId="47E5B94B" w14:textId="77777777" w:rsidR="000E6E35" w:rsidRPr="000E6E35" w:rsidRDefault="000E6E35">
      <w:pPr>
        <w:numPr>
          <w:ilvl w:val="0"/>
          <w:numId w:val="14"/>
        </w:numPr>
      </w:pPr>
      <w:r w:rsidRPr="000E6E35">
        <w:rPr>
          <w:b/>
          <w:bCs/>
        </w:rPr>
        <w:t>Klímavédelmi relevancia:</w:t>
      </w:r>
      <w:r w:rsidRPr="000E6E35">
        <w:t xml:space="preserve"> A vízkezelő és -szállító gépészet folyamatos (24 órás) rendelkezésre állása miatt a telep alap-villamosenergia-fogyasztásának (Base Load) egyik meghatározó eleme, mely az éves közvetett (Scope 2) szén-dioxid-terhelés kalkulációjában fix fogyasztási bázisként jelenik meg.</w:t>
      </w:r>
    </w:p>
    <w:p w14:paraId="46873020" w14:textId="1FC40C7F" w:rsidR="0001544F" w:rsidRDefault="000E6E35" w:rsidP="000E6E35">
      <w:pPr>
        <w:pStyle w:val="Cmsor2"/>
      </w:pPr>
      <w:bookmarkStart w:id="17" w:name="_Toc231161084"/>
      <w:r w:rsidRPr="000E6E35">
        <w:t>Időszakos, szakaszos és vészhelyzeti rendszerek lehatárolása</w:t>
      </w:r>
      <w:bookmarkEnd w:id="17"/>
    </w:p>
    <w:p w14:paraId="2243279D" w14:textId="5C334F25" w:rsidR="000E6E35" w:rsidRDefault="000E6E35" w:rsidP="005F3A2D">
      <w:r w:rsidRPr="000E6E35">
        <w:t>A folyamatos üzemű alaptechnológián túl a telephelyen több olyan gépészeti berendezés és alrendszer működik, amelyek üzemelése időszakos (turnusokhoz kötött), szakaszos (automatizált időközönként ismétlődő) vagy kizárólag vészhelyzeti (biztonsági) jellegű. Ezek pontos energetikai lehatárolása elengedhetetlen a közvetlen (Scope 1) és közvetett (Scope 2) ÜHG-kibocsátások reális modellezéséhez.</w:t>
      </w:r>
    </w:p>
    <w:p w14:paraId="6B22477E" w14:textId="5CDE2DB4" w:rsidR="000E6E35" w:rsidRDefault="006A00DA" w:rsidP="006A00DA">
      <w:pPr>
        <w:pStyle w:val="Cmsor3"/>
      </w:pPr>
      <w:bookmarkStart w:id="18" w:name="_Toc231161085"/>
      <w:r w:rsidRPr="006A00DA">
        <w:t>Telepítési fázisok és turnusok közötti temperáló fűtés egyedi hőlégfúvókkal</w:t>
      </w:r>
      <w:bookmarkEnd w:id="18"/>
    </w:p>
    <w:p w14:paraId="4D9C5C72" w14:textId="77777777" w:rsidR="006A00DA" w:rsidRPr="006A00DA" w:rsidRDefault="006A00DA" w:rsidP="006A00DA">
      <w:r w:rsidRPr="006A00DA">
        <w:t>Az istállóépületek normál üzemben nem rendelkeznek folyamatos üzemű, beépített fosszilis vagy központi hőtermelő rendszerekkel, mivel a hízlalás során az állatok saját hőtermelése (biológiai hőkibocsátása) a zárt, hőszigetelt struktúrában elegendő a technológiai hőmérséklet fenntartásához.</w:t>
      </w:r>
    </w:p>
    <w:p w14:paraId="029352B7" w14:textId="51CF2DD5" w:rsidR="006A00DA" w:rsidRPr="006A00DA" w:rsidRDefault="006A00DA">
      <w:pPr>
        <w:numPr>
          <w:ilvl w:val="0"/>
          <w:numId w:val="15"/>
        </w:numPr>
      </w:pPr>
      <w:r w:rsidRPr="006A00DA">
        <w:rPr>
          <w:b/>
          <w:bCs/>
        </w:rPr>
        <w:t>Időszakosság és funkció:</w:t>
      </w:r>
      <w:r w:rsidRPr="006A00DA">
        <w:t xml:space="preserve"> Két hízlalási turnus között, az istállók teljes kiürítését, nedves tisztítását és fertőtlenítését követően a belső terekben jelentős mennyiségű szerkezeti nedvesség marad, valamint a belső hőmérséklet lecsökkenhet. A malacállomány megérkezését megelőzően ezért technológiai okokból temperáló fűtés szükséges.</w:t>
      </w:r>
    </w:p>
    <w:p w14:paraId="68D8ED07" w14:textId="446BF4F0" w:rsidR="006A00DA" w:rsidRPr="006A00DA" w:rsidRDefault="006A00DA">
      <w:pPr>
        <w:numPr>
          <w:ilvl w:val="0"/>
          <w:numId w:val="15"/>
        </w:numPr>
      </w:pPr>
      <w:r w:rsidRPr="006A00DA">
        <w:rPr>
          <w:b/>
          <w:bCs/>
        </w:rPr>
        <w:lastRenderedPageBreak/>
        <w:t>Alkalmazott technológia:</w:t>
      </w:r>
      <w:r w:rsidRPr="006A00DA">
        <w:t xml:space="preserve"> A temperálást nem fixen kiépített gázhálózatról, hanem ideiglenesen telepített, mobil, </w:t>
      </w:r>
      <w:r w:rsidRPr="006A00DA">
        <w:rPr>
          <w:b/>
          <w:bCs/>
        </w:rPr>
        <w:t>egyedi hőlégfúvó berendezésekkel</w:t>
      </w:r>
      <w:r w:rsidRPr="006A00DA">
        <w:t xml:space="preserve"> oldják meg. Ezek a berendezések közvetlen fosszilis energiát (PB-gáz vagy gázolaj) használnak fel a gyors hőközlés érdekében.</w:t>
      </w:r>
    </w:p>
    <w:p w14:paraId="650A0860" w14:textId="77777777" w:rsidR="006A00DA" w:rsidRPr="006A00DA" w:rsidRDefault="006A00DA">
      <w:pPr>
        <w:numPr>
          <w:ilvl w:val="0"/>
          <w:numId w:val="15"/>
        </w:numPr>
      </w:pPr>
      <w:r w:rsidRPr="006A00DA">
        <w:rPr>
          <w:b/>
          <w:bCs/>
        </w:rPr>
        <w:t>Klímavédelmi relevancia:</w:t>
      </w:r>
      <w:r w:rsidRPr="006A00DA">
        <w:t xml:space="preserve"> Ez az egyetlen olyan technológiai folyamat közvetlenül az istállókon belül, amely Scope 1 kategóriájú, közvetlen CO</w:t>
      </w:r>
      <w:r w:rsidRPr="006A00DA">
        <w:rPr>
          <w:rFonts w:ascii="Cambria Math" w:hAnsi="Cambria Math" w:cs="Cambria Math"/>
        </w:rPr>
        <w:t>₂</w:t>
      </w:r>
      <w:r w:rsidRPr="006A00DA">
        <w:t>-kibocs</w:t>
      </w:r>
      <w:r w:rsidRPr="006A00DA">
        <w:rPr>
          <w:rFonts w:cs="Garamond"/>
        </w:rPr>
        <w:t>á</w:t>
      </w:r>
      <w:r w:rsidRPr="006A00DA">
        <w:t>t</w:t>
      </w:r>
      <w:r w:rsidRPr="006A00DA">
        <w:rPr>
          <w:rFonts w:cs="Garamond"/>
        </w:rPr>
        <w:t>á</w:t>
      </w:r>
      <w:r w:rsidRPr="006A00DA">
        <w:t>st gener</w:t>
      </w:r>
      <w:r w:rsidRPr="006A00DA">
        <w:rPr>
          <w:rFonts w:cs="Garamond"/>
        </w:rPr>
        <w:t>á</w:t>
      </w:r>
      <w:r w:rsidRPr="006A00DA">
        <w:t xml:space="preserve">l. Mivel azonban az </w:t>
      </w:r>
      <w:r w:rsidRPr="006A00DA">
        <w:rPr>
          <w:rFonts w:cs="Garamond"/>
        </w:rPr>
        <w:t>ü</w:t>
      </w:r>
      <w:r w:rsidRPr="006A00DA">
        <w:t>zemid</w:t>
      </w:r>
      <w:r w:rsidRPr="006A00DA">
        <w:rPr>
          <w:rFonts w:cs="Garamond"/>
        </w:rPr>
        <w:t>ő</w:t>
      </w:r>
      <w:r w:rsidRPr="006A00DA">
        <w:t xml:space="preserve"> rendk</w:t>
      </w:r>
      <w:r w:rsidRPr="006A00DA">
        <w:rPr>
          <w:rFonts w:cs="Garamond"/>
        </w:rPr>
        <w:t>í</w:t>
      </w:r>
      <w:r w:rsidRPr="006A00DA">
        <w:t>v</w:t>
      </w:r>
      <w:r w:rsidRPr="006A00DA">
        <w:rPr>
          <w:rFonts w:cs="Garamond"/>
        </w:rPr>
        <w:t>ü</w:t>
      </w:r>
      <w:r w:rsidRPr="006A00DA">
        <w:t>l korl</w:t>
      </w:r>
      <w:r w:rsidRPr="006A00DA">
        <w:rPr>
          <w:rFonts w:cs="Garamond"/>
        </w:rPr>
        <w:t>á</w:t>
      </w:r>
      <w:r w:rsidRPr="006A00DA">
        <w:t>tozott (</w:t>
      </w:r>
      <w:r w:rsidRPr="006A00DA">
        <w:rPr>
          <w:rFonts w:cs="Garamond"/>
        </w:rPr>
        <w:t>é</w:t>
      </w:r>
      <w:r w:rsidRPr="006A00DA">
        <w:t>vente turnusonk</w:t>
      </w:r>
      <w:r w:rsidRPr="006A00DA">
        <w:rPr>
          <w:rFonts w:cs="Garamond"/>
        </w:rPr>
        <w:t>é</w:t>
      </w:r>
      <w:r w:rsidRPr="006A00DA">
        <w:t>nt mind</w:t>
      </w:r>
      <w:r w:rsidRPr="006A00DA">
        <w:rPr>
          <w:rFonts w:cs="Garamond"/>
        </w:rPr>
        <w:t>ö</w:t>
      </w:r>
      <w:r w:rsidRPr="006A00DA">
        <w:t>ssze n</w:t>
      </w:r>
      <w:r w:rsidRPr="006A00DA">
        <w:rPr>
          <w:rFonts w:cs="Garamond"/>
        </w:rPr>
        <w:t>é</w:t>
      </w:r>
      <w:r w:rsidRPr="006A00DA">
        <w:t>h</w:t>
      </w:r>
      <w:r w:rsidRPr="006A00DA">
        <w:rPr>
          <w:rFonts w:cs="Garamond"/>
        </w:rPr>
        <w:t>á</w:t>
      </w:r>
      <w:r w:rsidRPr="006A00DA">
        <w:t xml:space="preserve">ny nap vagy </w:t>
      </w:r>
      <w:r w:rsidRPr="006A00DA">
        <w:rPr>
          <w:rFonts w:cs="Garamond"/>
        </w:rPr>
        <w:t>ó</w:t>
      </w:r>
      <w:r w:rsidRPr="006A00DA">
        <w:t>ra, els</w:t>
      </w:r>
      <w:r w:rsidRPr="006A00DA">
        <w:rPr>
          <w:rFonts w:cs="Garamond"/>
        </w:rPr>
        <w:t>ő</w:t>
      </w:r>
      <w:r w:rsidRPr="006A00DA">
        <w:t>sorban a t</w:t>
      </w:r>
      <w:r w:rsidRPr="006A00DA">
        <w:rPr>
          <w:rFonts w:cs="Garamond"/>
        </w:rPr>
        <w:t>é</w:t>
      </w:r>
      <w:r w:rsidRPr="006A00DA">
        <w:t xml:space="preserve">li </w:t>
      </w:r>
      <w:r w:rsidRPr="006A00DA">
        <w:rPr>
          <w:rFonts w:cs="Garamond"/>
        </w:rPr>
        <w:t>é</w:t>
      </w:r>
      <w:r w:rsidRPr="006A00DA">
        <w:t xml:space="preserve">s </w:t>
      </w:r>
      <w:r w:rsidRPr="006A00DA">
        <w:rPr>
          <w:rFonts w:cs="Garamond"/>
        </w:rPr>
        <w:t>á</w:t>
      </w:r>
      <w:r w:rsidRPr="006A00DA">
        <w:t>tmeneti id</w:t>
      </w:r>
      <w:r w:rsidRPr="006A00DA">
        <w:rPr>
          <w:rFonts w:cs="Garamond"/>
        </w:rPr>
        <w:t>ő</w:t>
      </w:r>
      <w:r w:rsidRPr="006A00DA">
        <w:t xml:space="preserve">szakokban), a telepi </w:t>
      </w:r>
      <w:r w:rsidRPr="006A00DA">
        <w:rPr>
          <w:rFonts w:cs="Garamond"/>
        </w:rPr>
        <w:t>Ü</w:t>
      </w:r>
      <w:r w:rsidRPr="006A00DA">
        <w:t>HG-m</w:t>
      </w:r>
      <w:r w:rsidRPr="006A00DA">
        <w:rPr>
          <w:rFonts w:cs="Garamond"/>
        </w:rPr>
        <w:t>é</w:t>
      </w:r>
      <w:r w:rsidRPr="006A00DA">
        <w:t>rlegben bet</w:t>
      </w:r>
      <w:r w:rsidRPr="006A00DA">
        <w:rPr>
          <w:rFonts w:cs="Garamond"/>
        </w:rPr>
        <w:t>ö</w:t>
      </w:r>
      <w:r w:rsidRPr="006A00DA">
        <w:t>lt</w:t>
      </w:r>
      <w:r w:rsidRPr="006A00DA">
        <w:rPr>
          <w:rFonts w:cs="Garamond"/>
        </w:rPr>
        <w:t>ö</w:t>
      </w:r>
      <w:r w:rsidRPr="006A00DA">
        <w:t>tt s</w:t>
      </w:r>
      <w:r w:rsidRPr="006A00DA">
        <w:rPr>
          <w:rFonts w:cs="Garamond"/>
        </w:rPr>
        <w:t>ú</w:t>
      </w:r>
      <w:r w:rsidRPr="006A00DA">
        <w:t>lya eleny</w:t>
      </w:r>
      <w:r w:rsidRPr="006A00DA">
        <w:rPr>
          <w:rFonts w:cs="Garamond"/>
        </w:rPr>
        <w:t>é</w:t>
      </w:r>
      <w:r w:rsidRPr="006A00DA">
        <w:t>sz</w:t>
      </w:r>
      <w:r w:rsidRPr="006A00DA">
        <w:rPr>
          <w:rFonts w:cs="Garamond"/>
        </w:rPr>
        <w:t>ő</w:t>
      </w:r>
      <w:r w:rsidRPr="006A00DA">
        <w:t xml:space="preserve"> a biog</w:t>
      </w:r>
      <w:r w:rsidRPr="006A00DA">
        <w:rPr>
          <w:rFonts w:cs="Garamond"/>
        </w:rPr>
        <w:t>é</w:t>
      </w:r>
      <w:r w:rsidRPr="006A00DA">
        <w:t>n emisszi</w:t>
      </w:r>
      <w:r w:rsidRPr="006A00DA">
        <w:rPr>
          <w:rFonts w:cs="Garamond"/>
        </w:rPr>
        <w:t>ó</w:t>
      </w:r>
      <w:r w:rsidRPr="006A00DA">
        <w:t>khoz k</w:t>
      </w:r>
      <w:r w:rsidRPr="006A00DA">
        <w:rPr>
          <w:rFonts w:cs="Garamond"/>
        </w:rPr>
        <w:t>é</w:t>
      </w:r>
      <w:r w:rsidRPr="006A00DA">
        <w:t>pest.</w:t>
      </w:r>
    </w:p>
    <w:p w14:paraId="08333A09" w14:textId="0B8605F2" w:rsidR="005F3A2D" w:rsidRDefault="00D94906" w:rsidP="00D94906">
      <w:pPr>
        <w:pStyle w:val="Cmsor3"/>
      </w:pPr>
      <w:bookmarkStart w:id="19" w:name="_Toc231161086"/>
      <w:r w:rsidRPr="00D94906">
        <w:t>P1 pontforrás: A biztonsági szükségáramforrás dízelaggregátor biztonsági üzeme</w:t>
      </w:r>
      <w:bookmarkEnd w:id="19"/>
    </w:p>
    <w:p w14:paraId="38736C6F" w14:textId="77777777" w:rsidR="00D94906" w:rsidRPr="00D94906" w:rsidRDefault="00D94906" w:rsidP="00D94906">
      <w:r w:rsidRPr="00D94906">
        <w:t>A telepi állatállomány életfeltételeinek fenntartása (különösen a kényszerszellőztetés és az itatórendszer folyamatos működése) kritikus mértékben függ a villamosenergia-ellátástól. Egy esetleges hálózati áramkimaradás súlyos fulladásos és hőstresszes állatpusztuláshoz vezetne.</w:t>
      </w:r>
    </w:p>
    <w:p w14:paraId="3F13B039" w14:textId="4B9C7F70" w:rsidR="00D94906" w:rsidRPr="00D94906" w:rsidRDefault="00D94906">
      <w:pPr>
        <w:numPr>
          <w:ilvl w:val="0"/>
          <w:numId w:val="16"/>
        </w:numPr>
      </w:pPr>
      <w:r w:rsidRPr="00D94906">
        <w:rPr>
          <w:b/>
          <w:bCs/>
        </w:rPr>
        <w:t>A berendezés leírása és besorolása:</w:t>
      </w:r>
      <w:r w:rsidRPr="00D94906">
        <w:t xml:space="preserve"> A hálózati áram kimaradása esetére a telepen egy fixen telepített, automatikus indítású, belső égésű dízelmotorral hajtott vészhelyzeti áramfejlesztő (szükségaggregátor) kerül elhelyezésre. A berendezés a környezetvédelmi engedélyezési eljárásban a </w:t>
      </w:r>
      <w:r w:rsidRPr="00D94906">
        <w:rPr>
          <w:b/>
          <w:bCs/>
        </w:rPr>
        <w:t>P1 jelű technológiai pontforrásként</w:t>
      </w:r>
      <w:r w:rsidRPr="00D94906">
        <w:t xml:space="preserve"> van nevesítve</w:t>
      </w:r>
      <w:r>
        <w:t>.</w:t>
      </w:r>
    </w:p>
    <w:p w14:paraId="715C42A3" w14:textId="77777777" w:rsidR="00D94906" w:rsidRPr="00D94906" w:rsidRDefault="00D94906">
      <w:pPr>
        <w:numPr>
          <w:ilvl w:val="0"/>
          <w:numId w:val="16"/>
        </w:numPr>
      </w:pPr>
      <w:r w:rsidRPr="00D94906">
        <w:rPr>
          <w:b/>
          <w:bCs/>
        </w:rPr>
        <w:t>Műszaki és energetikai paraméterek:</w:t>
      </w:r>
      <w:r w:rsidRPr="00D94906">
        <w:t xml:space="preserve"> A biztonsági áramforrás névleges elektromos teljesítménye </w:t>
      </w:r>
      <w:r w:rsidRPr="00D94906">
        <w:rPr>
          <w:b/>
          <w:bCs/>
        </w:rPr>
        <w:t>120 kW</w:t>
      </w:r>
      <w:r w:rsidRPr="00D94906">
        <w:t xml:space="preserve"> (Baudouin motoros generátoregység), melynek üzemanyaga gázolaj.</w:t>
      </w:r>
    </w:p>
    <w:p w14:paraId="7B754F70" w14:textId="77777777" w:rsidR="00D94906" w:rsidRDefault="00D94906">
      <w:pPr>
        <w:numPr>
          <w:ilvl w:val="0"/>
          <w:numId w:val="16"/>
        </w:numPr>
      </w:pPr>
      <w:r w:rsidRPr="00D94906">
        <w:rPr>
          <w:b/>
          <w:bCs/>
        </w:rPr>
        <w:t>Üzemidő és klímavédelmi modellezés:</w:t>
      </w:r>
      <w:r w:rsidRPr="00D94906">
        <w:t xml:space="preserve"> Az aggregátor üzemideje normál üzemmenet mellett kizárólag a kötelező, időszakos hatósági és karbantartási tesztüzemekre korlátozódik (jellemzően havi 1-2 alkalommal 15-30 perc terheletlen vagy részterheléses futás). Közvetlen Scope 1 kibocsátást (CO</w:t>
      </w:r>
      <w:r w:rsidRPr="00D94906">
        <w:rPr>
          <w:rFonts w:ascii="Cambria Math" w:hAnsi="Cambria Math" w:cs="Cambria Math"/>
        </w:rPr>
        <w:t>₂</w:t>
      </w:r>
      <w:r w:rsidRPr="00D94906">
        <w:t>, NO</w:t>
      </w:r>
      <w:r w:rsidRPr="00D94906">
        <w:rPr>
          <w:rFonts w:ascii="Cambria Math" w:hAnsi="Cambria Math" w:cs="Cambria Math"/>
        </w:rPr>
        <w:t>ₓ</w:t>
      </w:r>
      <w:r w:rsidRPr="00D94906">
        <w:t>, korom) csak ezen tesztid</w:t>
      </w:r>
      <w:r w:rsidRPr="00D94906">
        <w:rPr>
          <w:rFonts w:cs="Garamond"/>
        </w:rPr>
        <w:t>ő</w:t>
      </w:r>
      <w:r w:rsidRPr="00D94906">
        <w:t>szakok alatt, illetve val</w:t>
      </w:r>
      <w:r w:rsidRPr="00D94906">
        <w:rPr>
          <w:rFonts w:cs="Garamond"/>
        </w:rPr>
        <w:t>ó</w:t>
      </w:r>
      <w:r w:rsidRPr="00D94906">
        <w:t>s h</w:t>
      </w:r>
      <w:r w:rsidRPr="00D94906">
        <w:rPr>
          <w:rFonts w:cs="Garamond"/>
        </w:rPr>
        <w:t>á</w:t>
      </w:r>
      <w:r w:rsidRPr="00D94906">
        <w:t>l</w:t>
      </w:r>
      <w:r w:rsidRPr="00D94906">
        <w:rPr>
          <w:rFonts w:cs="Garamond"/>
        </w:rPr>
        <w:t>ó</w:t>
      </w:r>
      <w:r w:rsidRPr="00D94906">
        <w:t>zati v</w:t>
      </w:r>
      <w:r w:rsidRPr="00D94906">
        <w:rPr>
          <w:rFonts w:cs="Garamond"/>
        </w:rPr>
        <w:t>é</w:t>
      </w:r>
      <w:r w:rsidRPr="00D94906">
        <w:t>szhelyzet eset</w:t>
      </w:r>
      <w:r w:rsidRPr="00D94906">
        <w:rPr>
          <w:rFonts w:cs="Garamond"/>
        </w:rPr>
        <w:t>é</w:t>
      </w:r>
      <w:r w:rsidRPr="00D94906">
        <w:t>n gener</w:t>
      </w:r>
      <w:r w:rsidRPr="00D94906">
        <w:rPr>
          <w:rFonts w:cs="Garamond"/>
        </w:rPr>
        <w:t>á</w:t>
      </w:r>
      <w:r w:rsidRPr="00D94906">
        <w:t xml:space="preserve">l, </w:t>
      </w:r>
      <w:r w:rsidRPr="00D94906">
        <w:rPr>
          <w:rFonts w:cs="Garamond"/>
        </w:rPr>
        <w:t>í</w:t>
      </w:r>
      <w:r w:rsidRPr="00D94906">
        <w:t>gy a fosszilis t</w:t>
      </w:r>
      <w:r w:rsidRPr="00D94906">
        <w:rPr>
          <w:rFonts w:cs="Garamond"/>
        </w:rPr>
        <w:t>ü</w:t>
      </w:r>
      <w:r w:rsidRPr="00D94906">
        <w:t>zel</w:t>
      </w:r>
      <w:r w:rsidRPr="00D94906">
        <w:rPr>
          <w:rFonts w:cs="Garamond"/>
        </w:rPr>
        <w:t>ő</w:t>
      </w:r>
      <w:r w:rsidRPr="00D94906">
        <w:t>anyag-felhaszn</w:t>
      </w:r>
      <w:r w:rsidRPr="00D94906">
        <w:rPr>
          <w:rFonts w:cs="Garamond"/>
        </w:rPr>
        <w:t>á</w:t>
      </w:r>
      <w:r w:rsidRPr="00D94906">
        <w:t>l</w:t>
      </w:r>
      <w:r w:rsidRPr="00D94906">
        <w:rPr>
          <w:rFonts w:cs="Garamond"/>
        </w:rPr>
        <w:t>á</w:t>
      </w:r>
      <w:r w:rsidRPr="00D94906">
        <w:t>sa minim</w:t>
      </w:r>
      <w:r w:rsidRPr="00D94906">
        <w:rPr>
          <w:rFonts w:cs="Garamond"/>
        </w:rPr>
        <w:t>á</w:t>
      </w:r>
      <w:r w:rsidRPr="00D94906">
        <w:t>lis szinten tarthat</w:t>
      </w:r>
      <w:r w:rsidRPr="00D94906">
        <w:rPr>
          <w:rFonts w:cs="Garamond"/>
        </w:rPr>
        <w:t>ó</w:t>
      </w:r>
      <w:r w:rsidRPr="00D94906">
        <w:t>.</w:t>
      </w:r>
    </w:p>
    <w:p w14:paraId="013F8FA1" w14:textId="00BC4593" w:rsidR="00F70355" w:rsidRDefault="00F70355" w:rsidP="00F70355">
      <w:pPr>
        <w:pStyle w:val="Cmsor3"/>
      </w:pPr>
      <w:bookmarkStart w:id="20" w:name="_Toc231161087"/>
      <w:r>
        <w:t xml:space="preserve">P2 pontforrás: </w:t>
      </w:r>
      <w:r w:rsidRPr="00F70355">
        <w:t>Bentley 1000 AIS 064 Cyclone elhullottállat-égető</w:t>
      </w:r>
      <w:r>
        <w:t xml:space="preserve"> üzemeltetése</w:t>
      </w:r>
      <w:bookmarkEnd w:id="20"/>
    </w:p>
    <w:p w14:paraId="3EC588B0" w14:textId="77777777" w:rsidR="00F70355" w:rsidRPr="00F70355" w:rsidRDefault="00F70355" w:rsidP="00F70355">
      <w:r w:rsidRPr="00F70355">
        <w:t xml:space="preserve">A telephely belső járványvédelmi és állatjóléti infrastruktúrájának részét képezi az elhullott állatok helyszíni, biológiailag biztonságos kezelésére szolgáló hamvasztó berendezés, amely a környezetvédelmi engedélyben a </w:t>
      </w:r>
      <w:r w:rsidRPr="00F70355">
        <w:rPr>
          <w:b/>
          <w:bCs/>
        </w:rPr>
        <w:t>P2 jelű technológiai pontforrásként</w:t>
      </w:r>
      <w:r w:rsidRPr="00F70355">
        <w:t xml:space="preserve"> szerepel.</w:t>
      </w:r>
    </w:p>
    <w:p w14:paraId="3B19A2C0" w14:textId="77777777" w:rsidR="00F70355" w:rsidRPr="00F70355" w:rsidRDefault="00F70355">
      <w:pPr>
        <w:numPr>
          <w:ilvl w:val="0"/>
          <w:numId w:val="20"/>
        </w:numPr>
      </w:pPr>
      <w:r w:rsidRPr="00F70355">
        <w:rPr>
          <w:b/>
          <w:bCs/>
        </w:rPr>
        <w:t>Szerkezeti felépítés és hőszigetelés:</w:t>
      </w:r>
      <w:r w:rsidRPr="00F70355">
        <w:t xml:space="preserve"> A berendezés a piacon elérhető legmodernebb, alacsony hőtömegű monolit betonburkolattal és tűzálló béléssel rendelkezik. Ez a kialakítás minimalizálja a köpenyfal hőveszteségét, ezáltal jelentős üzemanyag-megtakarítást és gyors felfűtési időt biztosít a hagyományos téglabéléses égetőkhöz képest.</w:t>
      </w:r>
    </w:p>
    <w:p w14:paraId="61857F48" w14:textId="77777777" w:rsidR="00F70355" w:rsidRPr="00F70355" w:rsidRDefault="00F70355">
      <w:pPr>
        <w:numPr>
          <w:ilvl w:val="0"/>
          <w:numId w:val="20"/>
        </w:numPr>
      </w:pPr>
      <w:r w:rsidRPr="00F70355">
        <w:rPr>
          <w:b/>
          <w:bCs/>
        </w:rPr>
        <w:t>Kétkamrás technológia a tiszta égésért:</w:t>
      </w:r>
      <w:r w:rsidRPr="00F70355">
        <w:t xml:space="preserve"> A </w:t>
      </w:r>
      <w:r w:rsidRPr="00F70355">
        <w:rPr>
          <w:i/>
          <w:iCs/>
        </w:rPr>
        <w:t>Cyclone</w:t>
      </w:r>
      <w:r w:rsidRPr="00F70355">
        <w:t xml:space="preserve"> termékcsalád tagjaként a gép gyárilag beépített </w:t>
      </w:r>
      <w:r w:rsidRPr="00F70355">
        <w:rPr>
          <w:b/>
          <w:bCs/>
        </w:rPr>
        <w:t>másodlagos utóégető kamrával</w:t>
      </w:r>
      <w:r w:rsidRPr="00F70355">
        <w:t xml:space="preserve"> van ellátva. Ez a rendszer garantálja a füstgázok magas hőmérsékleten történő tartását és a tökéletes termikus megsemmisítést, így a berendezés károsanyag-kibocsátása teljes mértékben megfelel a szigorú európai uniós környezetvédelmi előírásoknak és a hazai levegőtisztaság-védelmi elvárásoknak.</w:t>
      </w:r>
    </w:p>
    <w:p w14:paraId="5970DDB3" w14:textId="0BC42479" w:rsidR="00F70355" w:rsidRPr="00F70355" w:rsidRDefault="00F70355">
      <w:pPr>
        <w:numPr>
          <w:ilvl w:val="0"/>
          <w:numId w:val="20"/>
        </w:numPr>
      </w:pPr>
      <w:r w:rsidRPr="00F70355">
        <w:rPr>
          <w:b/>
          <w:bCs/>
        </w:rPr>
        <w:t>Operatív paraméterek és logisztikai kapcsolat:</w:t>
      </w:r>
      <w:r w:rsidRPr="00F70355">
        <w:t xml:space="preserve"> A berendezés maximális égetési kapacitása eléri az </w:t>
      </w:r>
      <w:r w:rsidRPr="00F70355">
        <w:rPr>
          <w:b/>
          <w:bCs/>
        </w:rPr>
        <w:t>50 kg/óra</w:t>
      </w:r>
      <w:r w:rsidRPr="00F70355">
        <w:t xml:space="preserve"> tömeget, ami lehetővé teszi a telepen keletkező hirtelen, vagy nagyobb egyedsúlyú (kifejlett hízó) tetemek azonnali és hatékony ártalmatlanítását is. A fő kamra elérése egy felültöltős, robusztus </w:t>
      </w:r>
      <w:r w:rsidRPr="00F70355">
        <w:rPr>
          <w:b/>
          <w:bCs/>
        </w:rPr>
        <w:t>ellensúlyos fedélen</w:t>
      </w:r>
      <w:r w:rsidRPr="00F70355">
        <w:t xml:space="preserve"> keresztül biztosított. Ez a </w:t>
      </w:r>
      <w:r w:rsidRPr="00F70355">
        <w:lastRenderedPageBreak/>
        <w:t xml:space="preserve">kialakítás mérnöki szempontból közvetlen kapcsolatot teremt a </w:t>
      </w:r>
      <w:r w:rsidR="00DA3A4D">
        <w:fldChar w:fldCharType="begin"/>
      </w:r>
      <w:r w:rsidR="00DA3A4D">
        <w:instrText xml:space="preserve"> REF _Ref230605936 \w \h </w:instrText>
      </w:r>
      <w:r w:rsidR="00DA3A4D">
        <w:fldChar w:fldCharType="separate"/>
      </w:r>
      <w:r w:rsidR="00040813">
        <w:t>4.4</w:t>
      </w:r>
      <w:r w:rsidR="00DA3A4D">
        <w:fldChar w:fldCharType="end"/>
      </w:r>
      <w:r w:rsidRPr="00F70355">
        <w:t xml:space="preserve"> pontban bemutatott belső logisztikával: a fedél mérete és nyitása lehetővé teszi, hogy a tetemeket a telepi traktor kanarával vagy homlokrakodóval közvetlenül, fizikai erőfeszítés és zóna-szennyezés nélkül emeljék be a kamrába.</w:t>
      </w:r>
    </w:p>
    <w:p w14:paraId="59F5EF1F" w14:textId="77777777" w:rsidR="00F70355" w:rsidRPr="00F70355" w:rsidRDefault="00F70355">
      <w:pPr>
        <w:numPr>
          <w:ilvl w:val="0"/>
          <w:numId w:val="20"/>
        </w:numPr>
      </w:pPr>
      <w:r w:rsidRPr="00F70355">
        <w:rPr>
          <w:b/>
          <w:bCs/>
        </w:rPr>
        <w:t>Energetikai adatok és vezérlés:</w:t>
      </w:r>
      <w:r w:rsidRPr="00F70355">
        <w:t xml:space="preserve"> A berendezés nagyteljesítményű, </w:t>
      </w:r>
      <w:r w:rsidRPr="00F70355">
        <w:rPr>
          <w:b/>
          <w:bCs/>
        </w:rPr>
        <w:t>175 kW-os</w:t>
      </w:r>
      <w:r w:rsidRPr="00F70355">
        <w:t xml:space="preserve"> fő égőfejjel üzemel, átlagos gázolaj-fogyasztása a folyamatos elektronikus vezérlés mellett </w:t>
      </w:r>
      <w:r w:rsidRPr="00F70355">
        <w:rPr>
          <w:b/>
          <w:bCs/>
        </w:rPr>
        <w:t>10,0 liter/óra</w:t>
      </w:r>
      <w:r w:rsidRPr="00F70355">
        <w:t xml:space="preserve">. A rendszer beépített elektromos vezérléssel és műszerezéssel (fő- és utókamra termoelemek) rendelkezik, melynek saját villamosenergia-igénye rendkívül alacsony, mindössze </w:t>
      </w:r>
      <w:r w:rsidRPr="00F70355">
        <w:rPr>
          <w:b/>
          <w:bCs/>
        </w:rPr>
        <w:t>0,3 kW/óra</w:t>
      </w:r>
      <w:r w:rsidRPr="00F70355">
        <w:t>.</w:t>
      </w:r>
    </w:p>
    <w:p w14:paraId="22F7FE4D" w14:textId="0334B3FC" w:rsidR="000E6E35" w:rsidRDefault="00D94906" w:rsidP="00D94906">
      <w:pPr>
        <w:pStyle w:val="Cmsor3"/>
      </w:pPr>
      <w:bookmarkStart w:id="21" w:name="_Toc231161088"/>
      <w:r w:rsidRPr="00D94906">
        <w:t>Trágyakezelés: BAUER MSXH 15 búvármotoros hígtrágyakeverők szakaszos, időkapcsolt üzemelése</w:t>
      </w:r>
      <w:bookmarkEnd w:id="21"/>
    </w:p>
    <w:p w14:paraId="65CD068A" w14:textId="2DDB02EE" w:rsidR="00F6271A" w:rsidRPr="00F6271A" w:rsidRDefault="00F6271A" w:rsidP="00F6271A">
      <w:r w:rsidRPr="00F6271A">
        <w:t>Az istállókból gravitációsan, csővezetéken keresztül eltávolított hígtrágya egy 1500 m</w:t>
      </w:r>
      <w:r w:rsidRPr="00F6271A">
        <w:rPr>
          <w:vertAlign w:val="superscript"/>
        </w:rPr>
        <w:t>3</w:t>
      </w:r>
      <w:r w:rsidRPr="00F6271A">
        <w:t>-es nyitott, de rugalmas ponyvával fedett hígtrágyatároló nagyműtárgyba kerül. A trágyalé fázisainak szétválását (leülepedés, kéregképződés) mechanikus keveréssel kell megakadályozni.</w:t>
      </w:r>
    </w:p>
    <w:p w14:paraId="0580DB24" w14:textId="677CCD4E" w:rsidR="00F6271A" w:rsidRPr="00F6271A" w:rsidRDefault="00F6271A">
      <w:pPr>
        <w:numPr>
          <w:ilvl w:val="0"/>
          <w:numId w:val="17"/>
        </w:numPr>
      </w:pPr>
      <w:r w:rsidRPr="00F6271A">
        <w:rPr>
          <w:b/>
          <w:bCs/>
        </w:rPr>
        <w:t>Gépészeti specifikáció:</w:t>
      </w:r>
      <w:r w:rsidRPr="00F6271A">
        <w:t xml:space="preserve"> A tározó gépészetét 1 db </w:t>
      </w:r>
      <w:r w:rsidRPr="00F6271A">
        <w:rPr>
          <w:b/>
          <w:bCs/>
        </w:rPr>
        <w:t>BAUER MSXH 15</w:t>
      </w:r>
      <w:r w:rsidRPr="00F6271A">
        <w:t xml:space="preserve"> típusú, nagyteljesítményű, merülőmotoros (búvármotoros) hígtrágyakeverő berendezés alkotja, amelyet a műtárgy falára rögzített saját kiemelő és rögzítő állványon helyeznek el. A berendezés névleges elektromos teljesítményigénye </w:t>
      </w:r>
      <w:r w:rsidRPr="00F6271A">
        <w:rPr>
          <w:b/>
          <w:bCs/>
        </w:rPr>
        <w:t>15 kW</w:t>
      </w:r>
      <w:r w:rsidRPr="00F6271A">
        <w:t>.</w:t>
      </w:r>
    </w:p>
    <w:p w14:paraId="3B63A2FC" w14:textId="7DA1A158" w:rsidR="00F6271A" w:rsidRPr="00F6271A" w:rsidRDefault="00F6271A">
      <w:pPr>
        <w:numPr>
          <w:ilvl w:val="0"/>
          <w:numId w:val="17"/>
        </w:numPr>
      </w:pPr>
      <w:r w:rsidRPr="00F6271A">
        <w:rPr>
          <w:b/>
          <w:bCs/>
        </w:rPr>
        <w:t>Automatizált vezérlési logika:</w:t>
      </w:r>
      <w:r w:rsidRPr="00F6271A">
        <w:t xml:space="preserve"> A keverőberendezés nem igényel folyamatos (24 órás) működést. Az energetikai optimalizálás és a felesleges ÜHG-kihajtás mérséklése érdekében a rendszer vezérlését egy </w:t>
      </w:r>
      <w:r w:rsidRPr="00F6271A">
        <w:rPr>
          <w:b/>
          <w:bCs/>
        </w:rPr>
        <w:t>SIEMENS LOGO!</w:t>
      </w:r>
      <w:r w:rsidRPr="00F6271A">
        <w:t xml:space="preserve"> típusú programozható vezérlőszekrény végzi. A vezérlés időköz-kapcsolású, 1 hétre előre programozható ciklikus üzemmódot valósít meg (pl. óránként néhány perces intenzív homogenizálás), és beépített motor-hővédelemmel van ellátva.</w:t>
      </w:r>
    </w:p>
    <w:p w14:paraId="78706C25" w14:textId="617A340E" w:rsidR="00F6271A" w:rsidRPr="00F6271A" w:rsidRDefault="00F6271A">
      <w:pPr>
        <w:numPr>
          <w:ilvl w:val="0"/>
          <w:numId w:val="17"/>
        </w:numPr>
      </w:pPr>
      <w:r w:rsidRPr="00F6271A">
        <w:rPr>
          <w:b/>
          <w:bCs/>
        </w:rPr>
        <w:t>Klímavédelmi és emissziós hatás:</w:t>
      </w:r>
      <w:r w:rsidRPr="00F6271A">
        <w:t xml:space="preserve"> A keverés szakaszossága energetikai szempontból csökkenti a telep Scope 2 villamosenergia-igényét. Ugyanakkor környezetvédelmi szempontból a keverési ciklusok ideje alatt a folyadékfelszín megnyitásával és mozgásával időszakosan megemelkedhet a tárolóból felszabaduló biogén gázok (CH</w:t>
      </w:r>
      <w:r w:rsidRPr="00F6271A">
        <w:rPr>
          <w:vertAlign w:val="subscript"/>
        </w:rPr>
        <w:t>4</w:t>
      </w:r>
      <w:r w:rsidRPr="00F6271A">
        <w:t>, N</w:t>
      </w:r>
      <w:r w:rsidRPr="00F6271A">
        <w:rPr>
          <w:vertAlign w:val="subscript"/>
        </w:rPr>
        <w:t>2</w:t>
      </w:r>
      <w:r w:rsidRPr="00F6271A">
        <w:t>O, NH</w:t>
      </w:r>
      <w:r w:rsidRPr="00F6271A">
        <w:rPr>
          <w:vertAlign w:val="subscript"/>
        </w:rPr>
        <w:t>3</w:t>
      </w:r>
      <w:r w:rsidRPr="00F6271A">
        <w:t>) emissziós intenzitása, amit a ponyvafedés hivatott tompítani.</w:t>
      </w:r>
    </w:p>
    <w:p w14:paraId="43AFCE58" w14:textId="77777777" w:rsidR="007A049D" w:rsidRDefault="007A049D" w:rsidP="007A049D">
      <w:pPr>
        <w:pStyle w:val="Cmsor2"/>
        <w:rPr>
          <w:rFonts w:ascii="Times New Roman" w:hAnsi="Times New Roman" w:cs="Times New Roman"/>
          <w:sz w:val="27"/>
          <w:szCs w:val="27"/>
        </w:rPr>
      </w:pPr>
      <w:bookmarkStart w:id="22" w:name="_Ref230605936"/>
      <w:bookmarkStart w:id="23" w:name="_Toc231161089"/>
      <w:r>
        <w:t>Telephelyi belső anyagmozgatás gépészeti infrastruktúrája</w:t>
      </w:r>
      <w:bookmarkEnd w:id="22"/>
      <w:bookmarkEnd w:id="23"/>
    </w:p>
    <w:p w14:paraId="4A8BD7CA" w14:textId="77777777" w:rsidR="007A049D" w:rsidRDefault="007A049D" w:rsidP="007A049D">
      <w:pPr>
        <w:pStyle w:val="NormlWeb"/>
        <w:jc w:val="both"/>
      </w:pPr>
      <w:r>
        <w:t>A telephely belső, napi szintű logisztikai folyamatai, az állatmozgatások, a takarmányozási felügyelet, a karbantartások, valamint a technológiai melléktermékek kezelése belső égésű motorral szerelt mobil erőgépek alkalmazását igényli. Ezeknek a gépeknek az üzemeltetése közvetlen gázolaj-felhasználással jár, így a szükségaggregátor és az időszakos hőlégfúvók mellett a telepi közvetlen (Scope 1) szén-dioxid-kibocsátás harmadik pillérét alkotják.</w:t>
      </w:r>
    </w:p>
    <w:p w14:paraId="46645582" w14:textId="77777777" w:rsidR="007A049D" w:rsidRPr="007A049D" w:rsidRDefault="007A049D" w:rsidP="007A049D">
      <w:pPr>
        <w:pStyle w:val="Cmsor3"/>
      </w:pPr>
      <w:bookmarkStart w:id="24" w:name="_Toc231161090"/>
      <w:r w:rsidRPr="007A049D">
        <w:t>Alkalmazott erőgépek és funkcionális lehatárolásuk</w:t>
      </w:r>
      <w:bookmarkEnd w:id="24"/>
    </w:p>
    <w:p w14:paraId="1231473A" w14:textId="77777777" w:rsidR="007A049D" w:rsidRPr="007A049D" w:rsidRDefault="007A049D" w:rsidP="007A049D">
      <w:r w:rsidRPr="007A049D">
        <w:t>A telephelyen belüli logisztikai feladatokat alapvetően két belső égésű motorral üzemelő munkagép látja el, amelyek mozgástere szigorúan lehatárolt a járványvédelmi zónák szétválasztása érdekében:</w:t>
      </w:r>
    </w:p>
    <w:p w14:paraId="07863E3C" w14:textId="64A7D3B9" w:rsidR="007A049D" w:rsidRPr="007A049D" w:rsidRDefault="007A049D">
      <w:pPr>
        <w:numPr>
          <w:ilvl w:val="0"/>
          <w:numId w:val="18"/>
        </w:numPr>
      </w:pPr>
      <w:r w:rsidRPr="007A049D">
        <w:rPr>
          <w:b/>
          <w:bCs/>
        </w:rPr>
        <w:t>Dízelüzemű traktor:</w:t>
      </w:r>
      <w:r w:rsidRPr="007A049D">
        <w:t xml:space="preserve"> Elsősorban a telepi belső utak fenntartásához, a kerítések menti területek gondozásához, a zöldfelületek karbantartásához, valamint szükség esetén a takarmányszállítási és tisztítási kiegészítő folyamatokhoz kapcsolódik. </w:t>
      </w:r>
      <w:r w:rsidR="00DB2042">
        <w:t>A</w:t>
      </w:r>
      <w:r w:rsidRPr="007A049D">
        <w:t xml:space="preserve"> traktor alkalmas a </w:t>
      </w:r>
      <w:r w:rsidRPr="007A049D">
        <w:lastRenderedPageBreak/>
        <w:t xml:space="preserve">technológiai konténerek és egyéb berendezések (pl. a tetemégető felső ellensúlyos fedelén keresztüli berakodás) közvetlen kiszolgálására is. </w:t>
      </w:r>
    </w:p>
    <w:p w14:paraId="440E462F" w14:textId="77777777" w:rsidR="007A049D" w:rsidRPr="007A049D" w:rsidRDefault="007A049D">
      <w:pPr>
        <w:numPr>
          <w:ilvl w:val="0"/>
          <w:numId w:val="18"/>
        </w:numPr>
      </w:pPr>
      <w:r w:rsidRPr="007A049D">
        <w:rPr>
          <w:b/>
          <w:bCs/>
        </w:rPr>
        <w:t>Dízelüzemű homlokrakodó (targonca):</w:t>
      </w:r>
      <w:r w:rsidRPr="007A049D">
        <w:t xml:space="preserve"> A szürke zónába és a fekete-fehér zónahatárig érkező input anyagok (pl. fertőtlenítő raktár, gyógyszerraktár anyagai, karbantartási eszközök) le- és berakodását, raklapos anyagmozgatását végzi. A gyártói adatok alapján a veszélyesanyag-depók és konténerek belső magassága kifejezetten úgy lett optimalizálva, hogy a biztonságos és hatékony rakodás targoncával vagy homlokrakodóval közvetlenül elvégezhető legyen.</w:t>
      </w:r>
    </w:p>
    <w:p w14:paraId="457848B5" w14:textId="77777777" w:rsidR="00DB2042" w:rsidRPr="00DB2042" w:rsidRDefault="00DB2042" w:rsidP="00E81567">
      <w:pPr>
        <w:pStyle w:val="Cmsor3"/>
      </w:pPr>
      <w:bookmarkStart w:id="25" w:name="_Toc231161091"/>
      <w:r w:rsidRPr="00DB2042">
        <w:t>Logisztikai útvonalak és klímavédelmi relevancia</w:t>
      </w:r>
      <w:bookmarkEnd w:id="25"/>
    </w:p>
    <w:p w14:paraId="328A2CAF" w14:textId="77777777" w:rsidR="00DB2042" w:rsidRPr="00DB2042" w:rsidRDefault="00DB2042" w:rsidP="00DB2042">
      <w:r w:rsidRPr="00DB2042">
        <w:t>Az anyagmozgatás hatékonysága és a felesleges károsanyag-kibocsátás minimalizálása érdekében a telephely belső infrastruktúráját a tervezők központosították.</w:t>
      </w:r>
    </w:p>
    <w:p w14:paraId="79E102BF" w14:textId="77777777" w:rsidR="00DB2042" w:rsidRPr="00DB2042" w:rsidRDefault="00DB2042">
      <w:pPr>
        <w:numPr>
          <w:ilvl w:val="0"/>
          <w:numId w:val="19"/>
        </w:numPr>
      </w:pPr>
      <w:r w:rsidRPr="00DB2042">
        <w:rPr>
          <w:b/>
          <w:bCs/>
        </w:rPr>
        <w:t>Zónákra bontott logisztika és körforgalom:</w:t>
      </w:r>
      <w:r w:rsidRPr="00DB2042">
        <w:t xml:space="preserve"> A belső közlekedési utakat a minimálisra szabták. A tehergépjárművek és a helyi munkagépek útvonalába egy kényelmes sugarú belső körforgalom lett tervezve. Ez biztosítja, hogy a gépek tolatási és felesleges manőverezési ideje – ami a belső égésű motorok legkedvezőtlenebb, legmagasabb fajlagos kibocsátású üzemállapota – a legalacsonyabb szinten maradjon. </w:t>
      </w:r>
    </w:p>
    <w:p w14:paraId="48335D09" w14:textId="3DA6DBA3" w:rsidR="00DB2042" w:rsidRPr="00DB2042" w:rsidRDefault="00DB2042">
      <w:pPr>
        <w:numPr>
          <w:ilvl w:val="0"/>
          <w:numId w:val="19"/>
        </w:numPr>
      </w:pPr>
      <w:r w:rsidRPr="00DB2042">
        <w:rPr>
          <w:b/>
          <w:bCs/>
        </w:rPr>
        <w:t>Üzemanyag-fogyasztási bázis:</w:t>
      </w:r>
      <w:r w:rsidRPr="00DB2042">
        <w:t xml:space="preserve"> A környezetvédelmi alapdokumentáció levegőtisztaság-védelmi és diffúz forrási modellezése szerint a belső közlekedést és az anyagmozgatást végző munkagépek összesített, fix gázolaj-felhasználási kerete </w:t>
      </w:r>
      <w:r w:rsidRPr="00DB2042">
        <w:rPr>
          <w:b/>
          <w:bCs/>
        </w:rPr>
        <w:t>2100 liter/év</w:t>
      </w:r>
      <w:r w:rsidRPr="00DB2042">
        <w:t>. Ez az érték képezi a 3. fejezetben bemutatott számszerűsített logisztikai CO</w:t>
      </w:r>
      <w:r w:rsidRPr="00DB2042">
        <w:rPr>
          <w:vertAlign w:val="subscript"/>
        </w:rPr>
        <w:t>2</w:t>
      </w:r>
      <w:r w:rsidRPr="00DB2042">
        <w:t>-számítás fix bemeneti bázisát.</w:t>
      </w:r>
    </w:p>
    <w:p w14:paraId="1B5BABC0" w14:textId="08CFC0CC" w:rsidR="000E6E35" w:rsidRDefault="00FB5BD8" w:rsidP="00FB5BD8">
      <w:pPr>
        <w:pStyle w:val="Cmsor1"/>
      </w:pPr>
      <w:bookmarkStart w:id="26" w:name="_Toc231161092"/>
      <w:r w:rsidRPr="00FB5BD8">
        <w:t>A várható éves üvegházhatású gáz (ÜHG) kibocsátás számszerűsítése</w:t>
      </w:r>
      <w:bookmarkEnd w:id="26"/>
    </w:p>
    <w:p w14:paraId="58F16F1A" w14:textId="77777777" w:rsidR="00554595" w:rsidRDefault="00554595" w:rsidP="005F3A2D">
      <w:r w:rsidRPr="00554595">
        <w:t>A tiszaszőlősi sertéstelep és hígtrágyatároló üzemeltetési fázisára vonatkozó üvegházhatású gázkibocsátások számszerűsítése elengedhetetlen feltétele a beruházás éghajlati hatásvizsgálatának. A számítások célja a telephelyi tevékenységekhez köthető közvetlen (Scope 1) ÜHG-források azonosítása és azok éves kibocsátásának tonnában (t/</w:t>
      </w:r>
      <w:r>
        <w:t>év</w:t>
      </w:r>
      <w:r w:rsidRPr="00554595">
        <w:t>), valamint globális felmelegedési potenciáljuk alapján szén-dioxid egyenértékben (t CO</w:t>
      </w:r>
      <w:r w:rsidRPr="00554595">
        <w:rPr>
          <w:vertAlign w:val="subscript"/>
        </w:rPr>
        <w:t>2eq</w:t>
      </w:r>
      <w:r>
        <w:t>/év</w:t>
      </w:r>
      <w:r w:rsidRPr="00554595">
        <w:t>) történő meghatározása.</w:t>
      </w:r>
    </w:p>
    <w:p w14:paraId="66707B16" w14:textId="7B8D2BA6" w:rsidR="00D94906" w:rsidRDefault="00554595" w:rsidP="005F3A2D">
      <w:r w:rsidRPr="00554595">
        <w:t xml:space="preserve">A módszertani lehatárolásnak megfelelően a kibocsátásokat biogén technológiai forrásokra, valamint fosszilis tüzelőanyagot használó energetikai és logisztikai forrásokra osztjuk. Az alábbiakban a biogén eredetű technológiai kibocsátások részletes, szakmai és matematikai levezetése </w:t>
      </w:r>
      <w:r w:rsidR="00671761">
        <w:t>mutatjuk be</w:t>
      </w:r>
      <w:r w:rsidRPr="00554595">
        <w:t>.</w:t>
      </w:r>
    </w:p>
    <w:p w14:paraId="17F78F64" w14:textId="04FF70A1" w:rsidR="00D94906" w:rsidRDefault="00671761" w:rsidP="00671761">
      <w:pPr>
        <w:pStyle w:val="Cmsor2"/>
      </w:pPr>
      <w:bookmarkStart w:id="27" w:name="_Toc231161093"/>
      <w:r w:rsidRPr="00671761">
        <w:t>Biogén eredetű technológiai források (Scope 1 - Direct)</w:t>
      </w:r>
      <w:bookmarkEnd w:id="27"/>
    </w:p>
    <w:p w14:paraId="5B65199F" w14:textId="298C5E53" w:rsidR="00D94906" w:rsidRPr="00671761" w:rsidRDefault="00671761" w:rsidP="00671761">
      <w:r w:rsidRPr="00671761">
        <w:t>A mezőgazdasági állattartó telepeken a biogén ÜHG-kibocsátások az állatok természetes életfolyamataiból, valamint a keletkező hígtrágya telephelyen belüli gyűjtéséből és tárolásából származnak. A tiszaszőlősi beruházás esetében a vizsgált gázok a metán (CH4) és a dinitrogén-monoxid (N2O)</w:t>
      </w:r>
      <w:r>
        <w:t>.</w:t>
      </w:r>
    </w:p>
    <w:p w14:paraId="782DC644" w14:textId="575615CB" w:rsidR="00D94906" w:rsidRPr="00671761" w:rsidRDefault="00671761" w:rsidP="00671761">
      <w:pPr>
        <w:pStyle w:val="Cmsor3"/>
      </w:pPr>
      <w:bookmarkStart w:id="28" w:name="_Toc231161094"/>
      <w:r w:rsidRPr="00671761">
        <w:lastRenderedPageBreak/>
        <w:t>Sertések enterális fermentációjából származó metán (CH</w:t>
      </w:r>
      <w:r w:rsidRPr="00671761">
        <w:rPr>
          <w:vertAlign w:val="subscript"/>
        </w:rPr>
        <w:t>4</w:t>
      </w:r>
      <w:r w:rsidRPr="00671761">
        <w:t>) kibocsátá</w:t>
      </w:r>
      <w:r>
        <w:t>s</w:t>
      </w:r>
      <w:bookmarkEnd w:id="28"/>
    </w:p>
    <w:p w14:paraId="19B27C27" w14:textId="77777777" w:rsidR="00DB5241" w:rsidRPr="00DB5241" w:rsidRDefault="00DB5241" w:rsidP="00DB5241">
      <w:r w:rsidRPr="00DB5241">
        <w:t>Az enterális fermentáció a monogasztrikus állatok (így a sertések) emésztési folyamatának természetes velejárója, melynek során a tápcsatornában található mikroorganizmusok a takarmány szénhidrátjait anaerob módon lebontják, miközben metángáz keletkezik.</w:t>
      </w:r>
    </w:p>
    <w:p w14:paraId="6F5199E4" w14:textId="77777777" w:rsidR="00DB5241" w:rsidRPr="00DB5241" w:rsidRDefault="00DB5241">
      <w:pPr>
        <w:numPr>
          <w:ilvl w:val="0"/>
          <w:numId w:val="21"/>
        </w:numPr>
      </w:pPr>
      <w:r w:rsidRPr="00DB5241">
        <w:rPr>
          <w:b/>
          <w:bCs/>
        </w:rPr>
        <w:t>Számítási módszertan:</w:t>
      </w:r>
      <w:r w:rsidRPr="00DB5241">
        <w:t xml:space="preserve"> A számítás az </w:t>
      </w:r>
      <w:r w:rsidRPr="00DB5241">
        <w:rPr>
          <w:i/>
          <w:iCs/>
        </w:rPr>
        <w:t>IPCC 2019-es módszertani útmutatója (Volume 4, Chapter 10)</w:t>
      </w:r>
      <w:r w:rsidRPr="00DB5241">
        <w:t xml:space="preserve"> Tier 1 szintű megközelítésén alapul, amely a hizlaló állomány specifikus biológiai jellemzőit veszi figyelembe.</w:t>
      </w:r>
    </w:p>
    <w:p w14:paraId="2889A2BC" w14:textId="0B1DF9C0" w:rsidR="00DB5241" w:rsidRDefault="00DB5241">
      <w:pPr>
        <w:numPr>
          <w:ilvl w:val="0"/>
          <w:numId w:val="21"/>
        </w:numPr>
      </w:pPr>
      <w:r w:rsidRPr="00DB5241">
        <w:rPr>
          <w:b/>
          <w:bCs/>
        </w:rPr>
        <w:t>Bemeneti paraméterek:</w:t>
      </w:r>
      <w:r w:rsidRPr="00DB5241">
        <w:t xml:space="preserve"> A telep maximális egyidejű kapacitása </w:t>
      </w:r>
      <w:r w:rsidRPr="00DB5241">
        <w:rPr>
          <w:b/>
          <w:bCs/>
        </w:rPr>
        <w:t>5200 férőhely</w:t>
      </w:r>
      <w:r w:rsidRPr="00DB5241">
        <w:t>. A hízósertésekre (35-110</w:t>
      </w:r>
      <w:r>
        <w:t xml:space="preserve"> </w:t>
      </w:r>
      <w:r w:rsidRPr="00DB5241">
        <w:t xml:space="preserve">kg közötti súlycsoport) vonatkozó nemzetközi standard enterális emissziós tényező </w:t>
      </w:r>
      <w:r w:rsidRPr="00DB5241">
        <w:rPr>
          <w:b/>
          <w:bCs/>
        </w:rPr>
        <w:t>1,50 kg CH</w:t>
      </w:r>
      <w:r w:rsidRPr="00DB5241">
        <w:rPr>
          <w:b/>
          <w:bCs/>
          <w:vertAlign w:val="subscript"/>
        </w:rPr>
        <w:t>4</w:t>
      </w:r>
      <w:r w:rsidRPr="00DB5241">
        <w:rPr>
          <w:b/>
          <w:bCs/>
        </w:rPr>
        <w:t>/férőhely/év</w:t>
      </w:r>
      <w:r w:rsidR="007D48C2">
        <w:rPr>
          <w:rStyle w:val="Lbjegyzet-hivatkozs"/>
          <w:b/>
          <w:bCs/>
        </w:rPr>
        <w:footnoteReference w:id="13"/>
      </w:r>
      <w:r w:rsidRPr="00DB5241">
        <w:t>.</w:t>
      </w:r>
    </w:p>
    <w:p w14:paraId="286A16ED" w14:textId="5E60BDFE" w:rsidR="00673B6E" w:rsidRDefault="00673B6E">
      <w:pPr>
        <w:numPr>
          <w:ilvl w:val="0"/>
          <w:numId w:val="21"/>
        </w:numPr>
      </w:pPr>
      <w:r w:rsidRPr="00673B6E">
        <w:t>Matematikai levezetés:</w:t>
      </w:r>
    </w:p>
    <w:p w14:paraId="17198B0F" w14:textId="408787A0" w:rsidR="00673B6E" w:rsidRDefault="00945126" w:rsidP="00673B6E">
      <w:pPr>
        <w:jc w:val="center"/>
      </w:pPr>
      <w:r>
        <w:t>5200 férőhely * 1,50 kg/férőhely/év = 7800 kg CH</w:t>
      </w:r>
      <w:r w:rsidRPr="00945126">
        <w:rPr>
          <w:vertAlign w:val="subscript"/>
        </w:rPr>
        <w:t>4</w:t>
      </w:r>
      <w:r>
        <w:t>/év = 7,80 tonna CH</w:t>
      </w:r>
      <w:r w:rsidRPr="00945126">
        <w:rPr>
          <w:vertAlign w:val="subscript"/>
        </w:rPr>
        <w:t>4</w:t>
      </w:r>
      <w:r>
        <w:t>/év</w:t>
      </w:r>
    </w:p>
    <w:p w14:paraId="5CEF2EFB" w14:textId="2C4A9FC1" w:rsidR="00673B6E" w:rsidRPr="00DB5241" w:rsidRDefault="00673B6E" w:rsidP="00850AD1">
      <w:pPr>
        <w:pStyle w:val="Listaszerbekezds"/>
      </w:pPr>
      <w:r w:rsidRPr="00673B6E">
        <w:t>Átszámítás szén-dioxid egyenértékre</w:t>
      </w:r>
      <w:r>
        <w:t xml:space="preserve"> (GW P</w:t>
      </w:r>
      <w:r w:rsidRPr="00673B6E">
        <w:rPr>
          <w:vertAlign w:val="subscript"/>
        </w:rPr>
        <w:t>CH4</w:t>
      </w:r>
      <w:r>
        <w:t xml:space="preserve"> = 28</w:t>
      </w:r>
      <w:r w:rsidR="00781358">
        <w:rPr>
          <w:rStyle w:val="Lbjegyzet-hivatkozs"/>
        </w:rPr>
        <w:footnoteReference w:id="14"/>
      </w:r>
      <w:r>
        <w:t>)</w:t>
      </w:r>
    </w:p>
    <w:p w14:paraId="4478C06D" w14:textId="71AC87E1" w:rsidR="00D94906" w:rsidRDefault="00945126" w:rsidP="00673B6E">
      <w:pPr>
        <w:jc w:val="center"/>
      </w:pPr>
      <w:r>
        <w:t>7,80 tonna CH</w:t>
      </w:r>
      <w:r w:rsidRPr="00945126">
        <w:rPr>
          <w:vertAlign w:val="subscript"/>
        </w:rPr>
        <w:t>4</w:t>
      </w:r>
      <w:r>
        <w:t>/év * 28 = 218,40 tonna CO</w:t>
      </w:r>
      <w:r w:rsidRPr="00945126">
        <w:rPr>
          <w:vertAlign w:val="subscript"/>
        </w:rPr>
        <w:t>2eq</w:t>
      </w:r>
      <w:r>
        <w:t>/év</w:t>
      </w:r>
    </w:p>
    <w:p w14:paraId="713AD920" w14:textId="25BD7D53" w:rsidR="00D94906" w:rsidRDefault="002C5B3C" w:rsidP="002C5B3C">
      <w:pPr>
        <w:pStyle w:val="Cmsor3"/>
      </w:pPr>
      <w:bookmarkStart w:id="29" w:name="_Toc231161095"/>
      <w:r w:rsidRPr="002C5B3C">
        <w:t>A belső lagúnákból és a fedett hígtrágyatárolóból származó metán (CH</w:t>
      </w:r>
      <w:r w:rsidRPr="002C5B3C">
        <w:rPr>
          <w:vertAlign w:val="subscript"/>
        </w:rPr>
        <w:t>4</w:t>
      </w:r>
      <w:r w:rsidRPr="002C5B3C">
        <w:t>) kibocsátás</w:t>
      </w:r>
      <w:bookmarkEnd w:id="29"/>
    </w:p>
    <w:p w14:paraId="1BD6F96A" w14:textId="23B55D34" w:rsidR="002C5B3C" w:rsidRDefault="002C5B3C" w:rsidP="002C5B3C">
      <w:r w:rsidRPr="002C5B3C">
        <w:t>A hígtrágya kezelése során az istállók padozata alatti szulfátálló vasbeton trágyalagúnákban, valamint a szomszédos 0242/2 hrsz. alatti monolit vasbeton körműtárgyban tárolt kövér hígtrágya szerves anyaga az anaerob baktériumok hatására tovább bomlik, ami technológiai metánfejlődéssel jár.</w:t>
      </w:r>
    </w:p>
    <w:p w14:paraId="6D305F90" w14:textId="3CDA77D4" w:rsidR="002C5B3C" w:rsidRDefault="002C5B3C" w:rsidP="00850AD1">
      <w:pPr>
        <w:pStyle w:val="Listaszerbekezds"/>
      </w:pPr>
      <w:r w:rsidRPr="002C5B3C">
        <w:rPr>
          <w:b/>
          <w:bCs/>
        </w:rPr>
        <w:t>Alkalmazott módszertan:</w:t>
      </w:r>
      <w:r w:rsidRPr="002C5B3C">
        <w:t xml:space="preserve"> A hígtrágyakezelés metánalapú számszerűsítése az </w:t>
      </w:r>
      <w:r w:rsidRPr="002C5B3C">
        <w:rPr>
          <w:i/>
          <w:iCs/>
        </w:rPr>
        <w:t>EMEP/EEA Leltár Útmutató (Chapter 3.B)</w:t>
      </w:r>
      <w:r w:rsidRPr="002C5B3C">
        <w:t xml:space="preserve"> és az </w:t>
      </w:r>
      <w:r w:rsidRPr="002C5B3C">
        <w:rPr>
          <w:i/>
          <w:iCs/>
        </w:rPr>
        <w:t>IPCC (Tier 2)</w:t>
      </w:r>
      <w:r w:rsidRPr="002C5B3C">
        <w:t xml:space="preserve"> összefüggéseit követi, leválasztva a meglévő környezetvédelmi dokumentációban szereplő 3,64 kg/fh/év kombinált tényezőből az emésztési részt. Ennek megfelelően a trágyakezelési fázis specifikus kibocsátási tényezője</w:t>
      </w:r>
      <w:r>
        <w:t xml:space="preserve"> 2,14 CH</w:t>
      </w:r>
      <w:r w:rsidRPr="000E15F1">
        <w:rPr>
          <w:vertAlign w:val="subscript"/>
        </w:rPr>
        <w:t>4</w:t>
      </w:r>
      <w:r>
        <w:t>/férőhely</w:t>
      </w:r>
      <w:r w:rsidR="000E15F1">
        <w:t>/év (3,64-1,50 = 2,14)</w:t>
      </w:r>
    </w:p>
    <w:p w14:paraId="6941E615" w14:textId="4596625F" w:rsidR="002C5B3C" w:rsidRDefault="000E15F1" w:rsidP="00850AD1">
      <w:pPr>
        <w:pStyle w:val="Listaszerbekezds"/>
      </w:pPr>
      <w:r>
        <w:rPr>
          <w:b/>
          <w:bCs/>
        </w:rPr>
        <w:t>B</w:t>
      </w:r>
      <w:r w:rsidRPr="000E15F1">
        <w:rPr>
          <w:b/>
          <w:bCs/>
        </w:rPr>
        <w:t>emeneti paraméterek:</w:t>
      </w:r>
      <w:r w:rsidRPr="000E15F1">
        <w:t xml:space="preserve"> A telepi férőhelyek száma </w:t>
      </w:r>
      <w:r w:rsidRPr="000E15F1">
        <w:rPr>
          <w:b/>
          <w:bCs/>
        </w:rPr>
        <w:t>5200</w:t>
      </w:r>
      <w:r w:rsidRPr="000E15F1">
        <w:t>.</w:t>
      </w:r>
    </w:p>
    <w:p w14:paraId="11941E6C" w14:textId="60DB91AE" w:rsidR="000E15F1" w:rsidRDefault="000E15F1" w:rsidP="00850AD1">
      <w:pPr>
        <w:pStyle w:val="Listaszerbekezds"/>
      </w:pPr>
      <w:r w:rsidRPr="000E15F1">
        <w:t>A tiszta metángáz tömegének kiszámítása:</w:t>
      </w:r>
    </w:p>
    <w:p w14:paraId="382865AD" w14:textId="1A1F2FED" w:rsidR="002C5B3C" w:rsidRDefault="000E15F1" w:rsidP="000E15F1">
      <w:pPr>
        <w:jc w:val="center"/>
      </w:pPr>
      <w:r>
        <w:t>5200 férőhely * 2,14 kg</w:t>
      </w:r>
      <w:r w:rsidR="001137F5">
        <w:t xml:space="preserve"> CH</w:t>
      </w:r>
      <w:r w:rsidR="001137F5" w:rsidRPr="001137F5">
        <w:rPr>
          <w:vertAlign w:val="subscript"/>
        </w:rPr>
        <w:t>4</w:t>
      </w:r>
      <w:r>
        <w:t>/férőhely/év</w:t>
      </w:r>
      <w:r w:rsidR="001137F5">
        <w:t xml:space="preserve"> = 11 128 kg CH</w:t>
      </w:r>
      <w:r w:rsidR="001137F5" w:rsidRPr="001137F5">
        <w:rPr>
          <w:vertAlign w:val="subscript"/>
        </w:rPr>
        <w:t>4</w:t>
      </w:r>
      <w:r w:rsidR="001137F5">
        <w:t>/férőhely/év = 11,28 t CH</w:t>
      </w:r>
      <w:r w:rsidR="001137F5" w:rsidRPr="001137F5">
        <w:rPr>
          <w:vertAlign w:val="subscript"/>
        </w:rPr>
        <w:t>4</w:t>
      </w:r>
      <w:r w:rsidR="001137F5">
        <w:t>/férőhely/év</w:t>
      </w:r>
    </w:p>
    <w:p w14:paraId="3FFFEACC" w14:textId="6E6F3C25" w:rsidR="001137F5" w:rsidRPr="00DB5241" w:rsidRDefault="001137F5" w:rsidP="00850AD1">
      <w:pPr>
        <w:pStyle w:val="Listaszerbekezds"/>
      </w:pPr>
      <w:r w:rsidRPr="001137F5">
        <w:t>Átszámítás szén-dioxid egyenértékre</w:t>
      </w:r>
      <w:r>
        <w:t xml:space="preserve"> (GW P</w:t>
      </w:r>
      <w:r w:rsidRPr="00673B6E">
        <w:rPr>
          <w:vertAlign w:val="subscript"/>
        </w:rPr>
        <w:t>CH4</w:t>
      </w:r>
      <w:r>
        <w:t xml:space="preserve"> = 28)</w:t>
      </w:r>
    </w:p>
    <w:p w14:paraId="57DF6BC6" w14:textId="555A4322" w:rsidR="001137F5" w:rsidRDefault="001137F5" w:rsidP="001137F5">
      <w:pPr>
        <w:jc w:val="center"/>
      </w:pPr>
      <w:r>
        <w:t>11,128 tonna CH</w:t>
      </w:r>
      <w:r w:rsidRPr="00945126">
        <w:rPr>
          <w:vertAlign w:val="subscript"/>
        </w:rPr>
        <w:t>4</w:t>
      </w:r>
      <w:r>
        <w:t>/év * 28 = 311,584 tonna CO</w:t>
      </w:r>
      <w:r w:rsidRPr="00945126">
        <w:rPr>
          <w:vertAlign w:val="subscript"/>
        </w:rPr>
        <w:t>2eq</w:t>
      </w:r>
      <w:r>
        <w:t>/év</w:t>
      </w:r>
    </w:p>
    <w:p w14:paraId="214486FA" w14:textId="46A844A5" w:rsidR="00CF76EF" w:rsidRPr="00CF76EF" w:rsidRDefault="00CF76EF" w:rsidP="00CF76EF">
      <w:pPr>
        <w:pStyle w:val="Cmsor3"/>
      </w:pPr>
      <w:bookmarkStart w:id="30" w:name="_Toc231161096"/>
      <w:r w:rsidRPr="00CF76EF">
        <w:lastRenderedPageBreak/>
        <w:t>A trágyakezelés nitrogén-transzmissziójából származó dinitrogén-monoxid (N</w:t>
      </w:r>
      <w:r w:rsidRPr="00CF76EF">
        <w:rPr>
          <w:vertAlign w:val="subscript"/>
        </w:rPr>
        <w:t>2</w:t>
      </w:r>
      <w:r w:rsidRPr="00CF76EF">
        <w:t>O) kibocsátás</w:t>
      </w:r>
      <w:bookmarkEnd w:id="30"/>
    </w:p>
    <w:p w14:paraId="13148FB6" w14:textId="4D9B7334" w:rsidR="00CF76EF" w:rsidRPr="00CF76EF" w:rsidRDefault="00CF76EF" w:rsidP="00CF76EF">
      <w:pPr>
        <w:spacing w:after="0"/>
        <w:jc w:val="left"/>
        <w:rPr>
          <w:rFonts w:ascii="Times New Roman" w:hAnsi="Times New Roman" w:cs="Times New Roman"/>
        </w:rPr>
      </w:pPr>
      <w:r w:rsidRPr="00CF76EF">
        <w:rPr>
          <w:rFonts w:ascii="Times New Roman" w:hAnsi="Times New Roman" w:cs="Times New Roman"/>
        </w:rPr>
        <w:t xml:space="preserve">A dinitrogén-monoxid </w:t>
      </w:r>
      <w:r>
        <w:rPr>
          <w:rFonts w:ascii="Times New Roman" w:hAnsi="Times New Roman" w:cs="Times New Roman"/>
        </w:rPr>
        <w:t>(</w:t>
      </w:r>
      <w:r w:rsidRPr="00CF76EF">
        <w:rPr>
          <w:rFonts w:ascii="Times New Roman" w:hAnsi="Times New Roman" w:cs="Times New Roman"/>
        </w:rPr>
        <w:t>közismert nevén kéjgáz) keletkezése a hígtrágyában lévő nitrogénvegyületek egymást követő mikrobiális nitrifikációs (aerob) és denitrifikációs (anaerob) átalakulási folyamataihoz kötődik a folyékony fázisban és a tárolófelületeken.</w:t>
      </w:r>
    </w:p>
    <w:p w14:paraId="0C95D769" w14:textId="60D1DFF4" w:rsidR="00CF76EF" w:rsidRPr="00CF76EF" w:rsidRDefault="00CF76EF" w:rsidP="00850AD1">
      <w:pPr>
        <w:pStyle w:val="Listaszerbekezds"/>
      </w:pPr>
      <w:r w:rsidRPr="00CF76EF">
        <w:rPr>
          <w:b/>
          <w:bCs/>
        </w:rPr>
        <w:t>Alkalmazott módszertan:</w:t>
      </w:r>
      <w:r w:rsidRPr="00CF76EF">
        <w:t xml:space="preserve"> A dinitrogén-monoxid emisszió meghatározása az európai </w:t>
      </w:r>
      <w:r w:rsidRPr="00CF76EF">
        <w:rPr>
          <w:i/>
          <w:iCs/>
        </w:rPr>
        <w:t>EMEP/EEA Levegőszennyezőanyag-kibocsátási Leltár Útmutató (Chapter 3.B, Tier 2)</w:t>
      </w:r>
      <w:r w:rsidRPr="00CF76EF">
        <w:t xml:space="preserve"> folyékony hígtrágyás (slurry) rendszerekre kidolgozott módszertani egyenletei alapján történt.</w:t>
      </w:r>
    </w:p>
    <w:p w14:paraId="6B75879F" w14:textId="1DA37080" w:rsidR="00CF76EF" w:rsidRDefault="00CF76EF" w:rsidP="00850AD1">
      <w:pPr>
        <w:pStyle w:val="Listaszerbekezds"/>
      </w:pPr>
      <w:r w:rsidRPr="00CF76EF">
        <w:rPr>
          <w:b/>
          <w:bCs/>
        </w:rPr>
        <w:t>Bemeneti paraméterek:</w:t>
      </w:r>
      <w:r w:rsidRPr="00CF76EF">
        <w:t xml:space="preserve"> Zárt, lagúnás istállótechnológia és ponyvával fedett külső végtároló együttes alkalmazása esetén a specifikus dinitrogén-monoxid kibocsátási tényező a hízósertésekre vetítve </w:t>
      </w:r>
      <w:r w:rsidRPr="00CF76EF">
        <w:rPr>
          <w:b/>
          <w:bCs/>
        </w:rPr>
        <w:t>0,022 kg N</w:t>
      </w:r>
      <w:r w:rsidRPr="005E5189">
        <w:rPr>
          <w:b/>
          <w:bCs/>
          <w:vertAlign w:val="subscript"/>
        </w:rPr>
        <w:t>2</w:t>
      </w:r>
      <w:r w:rsidRPr="00CF76EF">
        <w:rPr>
          <w:b/>
          <w:bCs/>
        </w:rPr>
        <w:t>O/állat/év</w:t>
      </w:r>
      <w:r w:rsidRPr="00CF76EF">
        <w:t>.</w:t>
      </w:r>
    </w:p>
    <w:p w14:paraId="05D85D39" w14:textId="30D6B5DD" w:rsidR="005E5189" w:rsidRPr="00CF76EF" w:rsidRDefault="005E5189" w:rsidP="00850AD1">
      <w:pPr>
        <w:pStyle w:val="Listaszerbekezds"/>
      </w:pPr>
      <w:r w:rsidRPr="005E5189">
        <w:t>A tiszta dinitrogén-monoxid gáz tömegének kiszámítása:</w:t>
      </w:r>
    </w:p>
    <w:p w14:paraId="7E70B20A" w14:textId="10A743B3" w:rsidR="002C5B3C" w:rsidRDefault="005E5189" w:rsidP="005E5189">
      <w:pPr>
        <w:jc w:val="center"/>
      </w:pPr>
      <w:r>
        <w:t>5200 férőhely * 0,022 kg/állat/év = 114,40 kg N</w:t>
      </w:r>
      <w:r w:rsidRPr="005E5189">
        <w:rPr>
          <w:vertAlign w:val="subscript"/>
        </w:rPr>
        <w:t>2</w:t>
      </w:r>
      <w:r>
        <w:t>O/év = 0,1144 tonna N</w:t>
      </w:r>
      <w:r w:rsidRPr="005E5189">
        <w:rPr>
          <w:vertAlign w:val="subscript"/>
        </w:rPr>
        <w:t>2</w:t>
      </w:r>
      <w:r>
        <w:t>O/év</w:t>
      </w:r>
    </w:p>
    <w:p w14:paraId="3324E9F6" w14:textId="1B7B604D" w:rsidR="00C932BC" w:rsidRPr="00DB5241" w:rsidRDefault="00C932BC" w:rsidP="00850AD1">
      <w:pPr>
        <w:pStyle w:val="Listaszerbekezds"/>
      </w:pPr>
      <w:r w:rsidRPr="00C932BC">
        <w:t>Átszámítás szén-dioxid egyenértékre</w:t>
      </w:r>
      <w:r>
        <w:t xml:space="preserve"> (GW P</w:t>
      </w:r>
      <w:r>
        <w:rPr>
          <w:vertAlign w:val="subscript"/>
        </w:rPr>
        <w:t>N2O</w:t>
      </w:r>
      <w:r>
        <w:t xml:space="preserve"> = 265</w:t>
      </w:r>
      <w:r w:rsidR="00A947FE">
        <w:rPr>
          <w:rStyle w:val="Lbjegyzet-hivatkozs"/>
        </w:rPr>
        <w:footnoteReference w:id="15"/>
      </w:r>
      <w:r>
        <w:t>)</w:t>
      </w:r>
    </w:p>
    <w:p w14:paraId="7FDCEF73" w14:textId="36F5C8F2" w:rsidR="00CF76EF" w:rsidRDefault="00C932BC" w:rsidP="00C932BC">
      <w:pPr>
        <w:jc w:val="center"/>
      </w:pPr>
      <w:r>
        <w:t>0,1144 tonna N</w:t>
      </w:r>
      <w:r w:rsidRPr="005E5189">
        <w:rPr>
          <w:vertAlign w:val="subscript"/>
        </w:rPr>
        <w:t>2</w:t>
      </w:r>
      <w:r>
        <w:t>O/év * 265 = 30,316 tonna CO</w:t>
      </w:r>
      <w:r w:rsidRPr="00945126">
        <w:rPr>
          <w:vertAlign w:val="subscript"/>
        </w:rPr>
        <w:t>2eq</w:t>
      </w:r>
      <w:r>
        <w:t>/év</w:t>
      </w:r>
    </w:p>
    <w:p w14:paraId="42875431" w14:textId="01711F51" w:rsidR="00CF76EF" w:rsidRDefault="00016831" w:rsidP="00016831">
      <w:pPr>
        <w:pStyle w:val="Cmsor3"/>
      </w:pPr>
      <w:bookmarkStart w:id="31" w:name="_Toc231161097"/>
      <w:r w:rsidRPr="00016831">
        <w:t>Részösszefoglaló táblázat – Biogén ÜHG-kibocsátások</w:t>
      </w:r>
      <w:bookmarkEnd w:id="31"/>
    </w:p>
    <w:tbl>
      <w:tblPr>
        <w:tblStyle w:val="Fekvtblzat"/>
        <w:tblW w:w="0" w:type="auto"/>
        <w:tblLook w:val="04A0" w:firstRow="1" w:lastRow="0" w:firstColumn="1" w:lastColumn="0" w:noHBand="0" w:noVBand="1"/>
      </w:tblPr>
      <w:tblGrid>
        <w:gridCol w:w="1507"/>
        <w:gridCol w:w="1506"/>
        <w:gridCol w:w="1506"/>
        <w:gridCol w:w="1507"/>
        <w:gridCol w:w="1508"/>
        <w:gridCol w:w="1506"/>
      </w:tblGrid>
      <w:tr w:rsidR="00016831" w14:paraId="3F078D2E" w14:textId="77777777" w:rsidTr="00B33FBD">
        <w:trPr>
          <w:cnfStyle w:val="100000000000" w:firstRow="1" w:lastRow="0" w:firstColumn="0" w:lastColumn="0" w:oddVBand="0" w:evenVBand="0" w:oddHBand="0" w:evenHBand="0" w:firstRowFirstColumn="0" w:firstRowLastColumn="0" w:lastRowFirstColumn="0" w:lastRowLastColumn="0"/>
        </w:trPr>
        <w:tc>
          <w:tcPr>
            <w:tcW w:w="1507" w:type="dxa"/>
          </w:tcPr>
          <w:p w14:paraId="1F05316A" w14:textId="4B1459E3" w:rsidR="00016831" w:rsidRDefault="00016831" w:rsidP="00B33FBD">
            <w:pPr>
              <w:jc w:val="center"/>
            </w:pPr>
            <w:r w:rsidRPr="00016831">
              <w:t>Forrás megnevezése</w:t>
            </w:r>
          </w:p>
        </w:tc>
        <w:tc>
          <w:tcPr>
            <w:tcW w:w="1506" w:type="dxa"/>
          </w:tcPr>
          <w:p w14:paraId="25456948" w14:textId="63169111" w:rsidR="00016831" w:rsidRDefault="00016831" w:rsidP="00B33FBD">
            <w:pPr>
              <w:jc w:val="center"/>
            </w:pPr>
            <w:r w:rsidRPr="00016831">
              <w:t>Gáz típusa</w:t>
            </w:r>
          </w:p>
        </w:tc>
        <w:tc>
          <w:tcPr>
            <w:tcW w:w="1506" w:type="dxa"/>
          </w:tcPr>
          <w:p w14:paraId="72E4B2BD" w14:textId="7B5F7457" w:rsidR="00016831" w:rsidRDefault="00016831" w:rsidP="00B33FBD">
            <w:pPr>
              <w:jc w:val="center"/>
            </w:pPr>
            <w:r w:rsidRPr="00016831">
              <w:t>Éves tiszta gázkibocsátás (t/év)</w:t>
            </w:r>
          </w:p>
        </w:tc>
        <w:tc>
          <w:tcPr>
            <w:tcW w:w="1507" w:type="dxa"/>
          </w:tcPr>
          <w:p w14:paraId="4AA9F6B8" w14:textId="2E7E4021" w:rsidR="00016831" w:rsidRDefault="00016831" w:rsidP="00B33FBD">
            <w:pPr>
              <w:jc w:val="center"/>
            </w:pPr>
            <w:r w:rsidRPr="00016831">
              <w:t>Globális Felmelegedési Potenciál (GWP)</w:t>
            </w:r>
          </w:p>
        </w:tc>
        <w:tc>
          <w:tcPr>
            <w:tcW w:w="1508" w:type="dxa"/>
          </w:tcPr>
          <w:p w14:paraId="756AC6A2" w14:textId="6DB07AD5" w:rsidR="00016831" w:rsidRDefault="00016831" w:rsidP="00B33FBD">
            <w:pPr>
              <w:jc w:val="center"/>
            </w:pPr>
            <w:r w:rsidRPr="00016831">
              <w:t>Összesített kibocsátás (t CO</w:t>
            </w:r>
            <w:r w:rsidRPr="00016831">
              <w:rPr>
                <w:vertAlign w:val="subscript"/>
              </w:rPr>
              <w:t>2eq</w:t>
            </w:r>
            <w:r w:rsidRPr="00016831">
              <w:t>/év)</w:t>
            </w:r>
          </w:p>
        </w:tc>
        <w:tc>
          <w:tcPr>
            <w:tcW w:w="1506" w:type="dxa"/>
          </w:tcPr>
          <w:p w14:paraId="1C53343B" w14:textId="6BD92850" w:rsidR="00016831" w:rsidRDefault="00B33FBD" w:rsidP="00B33FBD">
            <w:pPr>
              <w:jc w:val="center"/>
            </w:pPr>
            <w:r w:rsidRPr="00B33FBD">
              <w:t>Részesedési arány a biogén forrásokból (%)</w:t>
            </w:r>
          </w:p>
        </w:tc>
      </w:tr>
      <w:tr w:rsidR="00016831" w14:paraId="0B031288" w14:textId="77777777" w:rsidTr="00B33FBD">
        <w:tc>
          <w:tcPr>
            <w:tcW w:w="1507" w:type="dxa"/>
          </w:tcPr>
          <w:p w14:paraId="1FBFFE12" w14:textId="1D3B36CD" w:rsidR="00016831" w:rsidRDefault="008F519F" w:rsidP="00B33FBD">
            <w:pPr>
              <w:jc w:val="left"/>
            </w:pPr>
            <w:r w:rsidRPr="008F519F">
              <w:t>Enterális fermentáció</w:t>
            </w:r>
          </w:p>
        </w:tc>
        <w:tc>
          <w:tcPr>
            <w:tcW w:w="1506" w:type="dxa"/>
          </w:tcPr>
          <w:p w14:paraId="2382C2A5" w14:textId="51EFCA08" w:rsidR="00016831" w:rsidRDefault="00B33FBD" w:rsidP="00B33FBD">
            <w:pPr>
              <w:jc w:val="center"/>
            </w:pPr>
            <w:r>
              <w:t>CH4</w:t>
            </w:r>
          </w:p>
        </w:tc>
        <w:tc>
          <w:tcPr>
            <w:tcW w:w="1506" w:type="dxa"/>
          </w:tcPr>
          <w:p w14:paraId="6A720011" w14:textId="4E1DC2D8" w:rsidR="00016831" w:rsidRDefault="00B33FBD" w:rsidP="00B33FBD">
            <w:pPr>
              <w:jc w:val="center"/>
            </w:pPr>
            <w:r>
              <w:t>7,800</w:t>
            </w:r>
          </w:p>
        </w:tc>
        <w:tc>
          <w:tcPr>
            <w:tcW w:w="1507" w:type="dxa"/>
          </w:tcPr>
          <w:p w14:paraId="32797AFF" w14:textId="722D9BAC" w:rsidR="00016831" w:rsidRDefault="00B33FBD" w:rsidP="00B33FBD">
            <w:pPr>
              <w:jc w:val="center"/>
            </w:pPr>
            <w:r>
              <w:t>28</w:t>
            </w:r>
          </w:p>
        </w:tc>
        <w:tc>
          <w:tcPr>
            <w:tcW w:w="1508" w:type="dxa"/>
          </w:tcPr>
          <w:p w14:paraId="797054E9" w14:textId="0D8BDE53" w:rsidR="00016831" w:rsidRDefault="00B33FBD" w:rsidP="00B33FBD">
            <w:pPr>
              <w:jc w:val="center"/>
            </w:pPr>
            <w:r>
              <w:t>218,400</w:t>
            </w:r>
          </w:p>
        </w:tc>
        <w:tc>
          <w:tcPr>
            <w:tcW w:w="1506" w:type="dxa"/>
          </w:tcPr>
          <w:p w14:paraId="65766B66" w14:textId="6E1B194C" w:rsidR="00016831" w:rsidRDefault="00B33FBD" w:rsidP="00B33FBD">
            <w:pPr>
              <w:jc w:val="center"/>
            </w:pPr>
            <w:r>
              <w:t>38089</w:t>
            </w:r>
          </w:p>
        </w:tc>
      </w:tr>
      <w:tr w:rsidR="00016831" w14:paraId="65DCF531" w14:textId="77777777" w:rsidTr="00B33FBD">
        <w:tc>
          <w:tcPr>
            <w:tcW w:w="1507" w:type="dxa"/>
          </w:tcPr>
          <w:p w14:paraId="0FEAA328" w14:textId="1D070211" w:rsidR="00016831" w:rsidRDefault="008F519F" w:rsidP="00B33FBD">
            <w:pPr>
              <w:jc w:val="left"/>
            </w:pPr>
            <w:r w:rsidRPr="008F519F">
              <w:t>Trágyalagúnák és tároló</w:t>
            </w:r>
          </w:p>
        </w:tc>
        <w:tc>
          <w:tcPr>
            <w:tcW w:w="1506" w:type="dxa"/>
          </w:tcPr>
          <w:p w14:paraId="3781EE67" w14:textId="0841B141" w:rsidR="00016831" w:rsidRDefault="00B33FBD" w:rsidP="00B33FBD">
            <w:pPr>
              <w:jc w:val="center"/>
            </w:pPr>
            <w:r>
              <w:t>CH4</w:t>
            </w:r>
          </w:p>
        </w:tc>
        <w:tc>
          <w:tcPr>
            <w:tcW w:w="1506" w:type="dxa"/>
          </w:tcPr>
          <w:p w14:paraId="0EA3BA17" w14:textId="0BAF2975" w:rsidR="00016831" w:rsidRDefault="00B33FBD" w:rsidP="00B33FBD">
            <w:pPr>
              <w:jc w:val="center"/>
            </w:pPr>
            <w:r>
              <w:t>11,128</w:t>
            </w:r>
          </w:p>
        </w:tc>
        <w:tc>
          <w:tcPr>
            <w:tcW w:w="1507" w:type="dxa"/>
          </w:tcPr>
          <w:p w14:paraId="3A26C193" w14:textId="2E9FC0F7" w:rsidR="00016831" w:rsidRDefault="00B33FBD" w:rsidP="00B33FBD">
            <w:pPr>
              <w:jc w:val="center"/>
            </w:pPr>
            <w:r>
              <w:t>28</w:t>
            </w:r>
          </w:p>
        </w:tc>
        <w:tc>
          <w:tcPr>
            <w:tcW w:w="1508" w:type="dxa"/>
          </w:tcPr>
          <w:p w14:paraId="7BDCE73C" w14:textId="79E1FBAF" w:rsidR="00016831" w:rsidRDefault="00B33FBD" w:rsidP="00B33FBD">
            <w:pPr>
              <w:jc w:val="center"/>
            </w:pPr>
            <w:r>
              <w:t>311,584</w:t>
            </w:r>
          </w:p>
        </w:tc>
        <w:tc>
          <w:tcPr>
            <w:tcW w:w="1506" w:type="dxa"/>
          </w:tcPr>
          <w:p w14:paraId="649FE9E5" w14:textId="0D24EA30" w:rsidR="00016831" w:rsidRDefault="00B33FBD" w:rsidP="00B33FBD">
            <w:pPr>
              <w:jc w:val="center"/>
            </w:pPr>
            <w:r>
              <w:t>55,61</w:t>
            </w:r>
          </w:p>
        </w:tc>
      </w:tr>
      <w:tr w:rsidR="00016831" w14:paraId="139EBFED" w14:textId="77777777" w:rsidTr="00B33FBD">
        <w:tc>
          <w:tcPr>
            <w:tcW w:w="1507" w:type="dxa"/>
          </w:tcPr>
          <w:p w14:paraId="68B7546E" w14:textId="26C5B9CE" w:rsidR="00016831" w:rsidRDefault="008F519F" w:rsidP="00B33FBD">
            <w:pPr>
              <w:jc w:val="left"/>
            </w:pPr>
            <w:r w:rsidRPr="008F519F">
              <w:t>Nitrogén-transzmisszió</w:t>
            </w:r>
          </w:p>
        </w:tc>
        <w:tc>
          <w:tcPr>
            <w:tcW w:w="1506" w:type="dxa"/>
          </w:tcPr>
          <w:p w14:paraId="5C2EF4EC" w14:textId="20E2755A" w:rsidR="00016831" w:rsidRDefault="00B33FBD" w:rsidP="00B33FBD">
            <w:pPr>
              <w:jc w:val="center"/>
            </w:pPr>
            <w:r>
              <w:t>N2O</w:t>
            </w:r>
          </w:p>
        </w:tc>
        <w:tc>
          <w:tcPr>
            <w:tcW w:w="1506" w:type="dxa"/>
          </w:tcPr>
          <w:p w14:paraId="1076F055" w14:textId="3574B37F" w:rsidR="00016831" w:rsidRDefault="00B33FBD" w:rsidP="00B33FBD">
            <w:pPr>
              <w:jc w:val="center"/>
            </w:pPr>
            <w:r>
              <w:t>0,1144</w:t>
            </w:r>
          </w:p>
        </w:tc>
        <w:tc>
          <w:tcPr>
            <w:tcW w:w="1507" w:type="dxa"/>
          </w:tcPr>
          <w:p w14:paraId="3DEEA440" w14:textId="3F3C716D" w:rsidR="00016831" w:rsidRDefault="00B33FBD" w:rsidP="00B33FBD">
            <w:pPr>
              <w:jc w:val="center"/>
            </w:pPr>
            <w:r>
              <w:t>265</w:t>
            </w:r>
          </w:p>
        </w:tc>
        <w:tc>
          <w:tcPr>
            <w:tcW w:w="1508" w:type="dxa"/>
          </w:tcPr>
          <w:p w14:paraId="07200E02" w14:textId="6780245B" w:rsidR="00016831" w:rsidRDefault="00B33FBD" w:rsidP="00B33FBD">
            <w:pPr>
              <w:jc w:val="center"/>
            </w:pPr>
            <w:r>
              <w:t>30,316</w:t>
            </w:r>
          </w:p>
        </w:tc>
        <w:tc>
          <w:tcPr>
            <w:tcW w:w="1506" w:type="dxa"/>
          </w:tcPr>
          <w:p w14:paraId="73C625A2" w14:textId="398F2342" w:rsidR="00016831" w:rsidRDefault="00B33FBD" w:rsidP="00B33FBD">
            <w:pPr>
              <w:jc w:val="center"/>
            </w:pPr>
            <w:r>
              <w:t>5,41</w:t>
            </w:r>
          </w:p>
        </w:tc>
      </w:tr>
      <w:tr w:rsidR="008F519F" w14:paraId="7F2F85A0" w14:textId="77777777" w:rsidTr="008F519F">
        <w:tc>
          <w:tcPr>
            <w:tcW w:w="6026" w:type="dxa"/>
            <w:gridSpan w:val="4"/>
          </w:tcPr>
          <w:p w14:paraId="11AE89E0" w14:textId="28A7C586" w:rsidR="008F519F" w:rsidRPr="008F519F" w:rsidRDefault="008F519F" w:rsidP="008F519F">
            <w:pPr>
              <w:jc w:val="left"/>
              <w:rPr>
                <w:b/>
                <w:bCs/>
              </w:rPr>
            </w:pPr>
            <w:r w:rsidRPr="008F519F">
              <w:rPr>
                <w:b/>
                <w:bCs/>
              </w:rPr>
              <w:t>BIOGÉN FORRÁSOK ÖSSZESEN:</w:t>
            </w:r>
          </w:p>
        </w:tc>
        <w:tc>
          <w:tcPr>
            <w:tcW w:w="1508" w:type="dxa"/>
          </w:tcPr>
          <w:p w14:paraId="6FEC1324" w14:textId="24319CE0" w:rsidR="008F519F" w:rsidRPr="008F519F" w:rsidRDefault="008F519F" w:rsidP="00B33FBD">
            <w:pPr>
              <w:jc w:val="center"/>
              <w:rPr>
                <w:b/>
                <w:bCs/>
              </w:rPr>
            </w:pPr>
            <w:r w:rsidRPr="008F519F">
              <w:rPr>
                <w:b/>
                <w:bCs/>
              </w:rPr>
              <w:t>560,300</w:t>
            </w:r>
          </w:p>
        </w:tc>
        <w:tc>
          <w:tcPr>
            <w:tcW w:w="1506" w:type="dxa"/>
          </w:tcPr>
          <w:p w14:paraId="4EA731D5" w14:textId="45DB1660" w:rsidR="008F519F" w:rsidRPr="008F519F" w:rsidRDefault="008F519F" w:rsidP="00B33FBD">
            <w:pPr>
              <w:jc w:val="center"/>
              <w:rPr>
                <w:b/>
                <w:bCs/>
              </w:rPr>
            </w:pPr>
            <w:r w:rsidRPr="008F519F">
              <w:rPr>
                <w:b/>
                <w:bCs/>
              </w:rPr>
              <w:t>100,00</w:t>
            </w:r>
          </w:p>
        </w:tc>
      </w:tr>
    </w:tbl>
    <w:p w14:paraId="41231078" w14:textId="3E2B44C3" w:rsidR="00CF76EF" w:rsidRDefault="008F519F" w:rsidP="008F519F">
      <w:pPr>
        <w:pStyle w:val="Kpalrs"/>
      </w:pPr>
      <w:r>
        <w:fldChar w:fldCharType="begin"/>
      </w:r>
      <w:r>
        <w:instrText xml:space="preserve"> SEQ táblázat \* ARABIC </w:instrText>
      </w:r>
      <w:r>
        <w:fldChar w:fldCharType="separate"/>
      </w:r>
      <w:r w:rsidR="00040813">
        <w:t>1</w:t>
      </w:r>
      <w:r>
        <w:fldChar w:fldCharType="end"/>
      </w:r>
      <w:r>
        <w:t>. táblázat</w:t>
      </w:r>
      <w:r w:rsidR="00341FC3">
        <w:t xml:space="preserve">: </w:t>
      </w:r>
      <w:r w:rsidR="00341FC3" w:rsidRPr="00341FC3">
        <w:t>Részösszefoglaló táblázat – Biogén ÜHG-kibocsátáso</w:t>
      </w:r>
      <w:r w:rsidR="00341FC3">
        <w:t>k</w:t>
      </w:r>
    </w:p>
    <w:p w14:paraId="7D4127C8" w14:textId="3F639D61" w:rsidR="00CF76EF" w:rsidRDefault="00341FC3" w:rsidP="002C5B3C">
      <w:r w:rsidRPr="00341FC3">
        <w:t>A levezetett biológiai és technológiai számítások alapján a tiszaszőlősi sertéstelep biogén működéséből származó közvetlen technológiai ÜHG-terhelése 560,300 tonna</w:t>
      </w:r>
      <w:r>
        <w:t xml:space="preserve"> CO</w:t>
      </w:r>
      <w:r w:rsidRPr="00945126">
        <w:rPr>
          <w:vertAlign w:val="subscript"/>
        </w:rPr>
        <w:t>2eq</w:t>
      </w:r>
      <w:r>
        <w:t>/év.</w:t>
      </w:r>
    </w:p>
    <w:p w14:paraId="64E5C82B" w14:textId="5C80D370" w:rsidR="00CF76EF" w:rsidRDefault="00D81F41" w:rsidP="00D81F41">
      <w:pPr>
        <w:pStyle w:val="Cmsor2"/>
      </w:pPr>
      <w:bookmarkStart w:id="32" w:name="_Toc231161098"/>
      <w:r w:rsidRPr="00D81F41">
        <w:lastRenderedPageBreak/>
        <w:t>Technológiai és logisztikai égetőberendezések fosszilis kibocsátása (Scope 1 - Direct)</w:t>
      </w:r>
      <w:bookmarkEnd w:id="32"/>
    </w:p>
    <w:p w14:paraId="482A802B" w14:textId="23163AE3" w:rsidR="00D81F41" w:rsidRPr="00D81F41" w:rsidRDefault="00D81F41" w:rsidP="00D81F41">
      <w:r w:rsidRPr="00D81F41">
        <w:t>A telephelyi állandó üzemviteli, járványvédelmi és logisztikai feladatok ellátása során felhasznált gázolaj (fosszilis tüzelőanyag) elégetése nem-biogén eredetű üvegházhatású gázok – elsősorban szén-dioxid (CO</w:t>
      </w:r>
      <w:r w:rsidRPr="00D81F41">
        <w:rPr>
          <w:vertAlign w:val="subscript"/>
        </w:rPr>
        <w:t>2</w:t>
      </w:r>
      <w:r w:rsidRPr="00D81F41">
        <w:t>) – kibocsátását eredményezi.</w:t>
      </w:r>
    </w:p>
    <w:p w14:paraId="2183D846" w14:textId="26DDE6F1" w:rsidR="00D81F41" w:rsidRPr="00D81F41" w:rsidRDefault="00D81F41" w:rsidP="00D81F41">
      <w:r w:rsidRPr="00D81F41">
        <w:t>A transzparens, számításokkal alátámasztott bemutatás érdekében a számítások során egységesen a gázolaj standard sűrűségét, tömegalapú átszámítását és az IPCC által rögzített hivatalos égetési tényezőket alkalmazzuk.</w:t>
      </w:r>
    </w:p>
    <w:p w14:paraId="5A0CC96C" w14:textId="77777777" w:rsidR="00D81F41" w:rsidRPr="00D81F41" w:rsidRDefault="00D81F41">
      <w:pPr>
        <w:numPr>
          <w:ilvl w:val="0"/>
          <w:numId w:val="23"/>
        </w:numPr>
      </w:pPr>
      <w:r w:rsidRPr="00D81F41">
        <w:rPr>
          <w:b/>
          <w:bCs/>
        </w:rPr>
        <w:t>Alkalmazott sűrűség (gázolaj):</w:t>
      </w:r>
      <w:r w:rsidRPr="00D81F41">
        <w:t xml:space="preserve"> 0,84 kg/liter</w:t>
      </w:r>
    </w:p>
    <w:p w14:paraId="62EFF793" w14:textId="7F38AE90" w:rsidR="00D81F41" w:rsidRPr="00D81F41" w:rsidRDefault="00D81F41">
      <w:pPr>
        <w:numPr>
          <w:ilvl w:val="0"/>
          <w:numId w:val="23"/>
        </w:numPr>
      </w:pPr>
      <w:r w:rsidRPr="00D81F41">
        <w:rPr>
          <w:b/>
          <w:bCs/>
        </w:rPr>
        <w:t>Alkalmazott emissziós tényező:</w:t>
      </w:r>
      <w:r w:rsidRPr="00D81F41">
        <w:t xml:space="preserve"> 3,166 tonna CO</w:t>
      </w:r>
      <w:r w:rsidRPr="00D81F41">
        <w:rPr>
          <w:vertAlign w:val="subscript"/>
        </w:rPr>
        <w:t>2</w:t>
      </w:r>
      <w:r w:rsidRPr="00D81F41">
        <w:t>/tonna elégetett üzemanyag</w:t>
      </w:r>
      <w:r>
        <w:rPr>
          <w:rStyle w:val="Lbjegyzet-hivatkozs"/>
        </w:rPr>
        <w:footnoteReference w:id="16"/>
      </w:r>
    </w:p>
    <w:p w14:paraId="4A4CAA3F" w14:textId="3BDE2B91" w:rsidR="00D81F41" w:rsidRPr="00D81F41" w:rsidRDefault="00D81F41">
      <w:pPr>
        <w:numPr>
          <w:ilvl w:val="0"/>
          <w:numId w:val="23"/>
        </w:numPr>
      </w:pPr>
      <w:r w:rsidRPr="00D81F41">
        <w:rPr>
          <w:b/>
          <w:bCs/>
        </w:rPr>
        <w:t>Szén-dioxid felmelegedési potenciálja:</w:t>
      </w:r>
      <w:r w:rsidRPr="00D81F41">
        <w:t xml:space="preserve"> GWP = 1</w:t>
      </w:r>
      <w:r>
        <w:rPr>
          <w:rStyle w:val="Lbjegyzet-hivatkozs"/>
        </w:rPr>
        <w:footnoteReference w:id="17"/>
      </w:r>
    </w:p>
    <w:p w14:paraId="7ACBD276" w14:textId="08B78161" w:rsidR="00D81F41" w:rsidRDefault="00F56636" w:rsidP="00F56636">
      <w:pPr>
        <w:pStyle w:val="Cmsor3"/>
      </w:pPr>
      <w:bookmarkStart w:id="33" w:name="_Toc231161099"/>
      <w:r w:rsidRPr="00F56636">
        <w:t>P</w:t>
      </w:r>
      <w:r w:rsidR="00B16449">
        <w:t>1</w:t>
      </w:r>
      <w:r w:rsidRPr="00F56636">
        <w:t xml:space="preserve"> pontforrás: Bentley 1000 AIS 064 Cyclone tetemégető éves CO</w:t>
      </w:r>
      <w:r w:rsidRPr="00B16449">
        <w:rPr>
          <w:vertAlign w:val="subscript"/>
        </w:rPr>
        <w:t>2</w:t>
      </w:r>
      <w:r w:rsidRPr="00F56636">
        <w:t xml:space="preserve"> kibocsátása</w:t>
      </w:r>
      <w:bookmarkEnd w:id="33"/>
    </w:p>
    <w:p w14:paraId="47A8A791" w14:textId="77777777" w:rsidR="00F56636" w:rsidRPr="00F56636" w:rsidRDefault="00F56636" w:rsidP="00F56636">
      <w:r w:rsidRPr="00F56636">
        <w:t>A telepi járványvédelem és a keletkező hulladékok helyszíni ártalmatlanítása érdekében üzemeltetett kétkamrás hamvasztó berendezés működése során fosszilis energiát használ fel.</w:t>
      </w:r>
    </w:p>
    <w:p w14:paraId="2C313374" w14:textId="123E4FC7" w:rsidR="00F56636" w:rsidRPr="00F56636" w:rsidRDefault="00F56636">
      <w:pPr>
        <w:numPr>
          <w:ilvl w:val="0"/>
          <w:numId w:val="24"/>
        </w:numPr>
      </w:pPr>
      <w:r w:rsidRPr="00F56636">
        <w:rPr>
          <w:b/>
          <w:bCs/>
        </w:rPr>
        <w:t>Alkalmazott módszertan és forrásadatok:</w:t>
      </w:r>
      <w:r w:rsidRPr="00F56636">
        <w:t xml:space="preserve"> </w:t>
      </w:r>
      <w:r w:rsidR="00B16449" w:rsidRPr="00B16449">
        <w:t>A számítás a berendezés kérelemben rögzített gépészeti és szakaszos üzemidő-levezetésén alapul.</w:t>
      </w:r>
    </w:p>
    <w:p w14:paraId="2C227B27" w14:textId="7414F9DC" w:rsidR="00B16449" w:rsidRPr="00B16449" w:rsidRDefault="00F56636">
      <w:pPr>
        <w:numPr>
          <w:ilvl w:val="0"/>
          <w:numId w:val="24"/>
        </w:numPr>
      </w:pPr>
      <w:r w:rsidRPr="00F56636">
        <w:rPr>
          <w:b/>
          <w:bCs/>
        </w:rPr>
        <w:t>Bemeneti paraméterek:</w:t>
      </w:r>
      <w:r w:rsidRPr="00F56636">
        <w:t xml:space="preserve"> </w:t>
      </w:r>
      <w:r w:rsidR="00B16449">
        <w:t>Á</w:t>
      </w:r>
      <w:r w:rsidR="00B16449" w:rsidRPr="00B16449">
        <w:t xml:space="preserve">tlagos gázolaj-fogyasztás: 10,0 liter/óra. Számított teljes éves működési idő (felfűtési és égési fázisok összesen): 1053 üzemóra/év. </w:t>
      </w:r>
    </w:p>
    <w:p w14:paraId="768FB172" w14:textId="0E32A2E5" w:rsidR="00F56636" w:rsidRDefault="00B16449">
      <w:pPr>
        <w:numPr>
          <w:ilvl w:val="0"/>
          <w:numId w:val="24"/>
        </w:numPr>
      </w:pPr>
      <w:r w:rsidRPr="00B16449">
        <w:t>Az éves üzemanyag-fogyasztás kiszámítása:</w:t>
      </w:r>
    </w:p>
    <w:p w14:paraId="23902889" w14:textId="606FCB5C" w:rsidR="00F56636" w:rsidRPr="00F56636" w:rsidRDefault="00B16449" w:rsidP="00B16449">
      <w:pPr>
        <w:jc w:val="center"/>
      </w:pPr>
      <w:r>
        <w:t>1053</w:t>
      </w:r>
      <w:r w:rsidR="00F56636" w:rsidRPr="00F56636">
        <w:t xml:space="preserve"> óra/év </w:t>
      </w:r>
      <w:r>
        <w:t>*</w:t>
      </w:r>
      <w:r w:rsidR="00F56636" w:rsidRPr="00F56636">
        <w:t xml:space="preserve"> 10,0 liter/óra = </w:t>
      </w:r>
      <w:r>
        <w:t>10530</w:t>
      </w:r>
      <w:r w:rsidR="00F56636" w:rsidRPr="00F56636">
        <w:t xml:space="preserve"> liter gázolaj/év</w:t>
      </w:r>
    </w:p>
    <w:p w14:paraId="6C6FD30E" w14:textId="77777777" w:rsidR="00F56636" w:rsidRPr="00F56636" w:rsidRDefault="00F56636" w:rsidP="00850AD1">
      <w:pPr>
        <w:pStyle w:val="Listaszerbekezds"/>
      </w:pPr>
      <w:r w:rsidRPr="00F56636">
        <w:t>Tömegalapú átszámítás:</w:t>
      </w:r>
    </w:p>
    <w:p w14:paraId="1900A9C6" w14:textId="31E90816" w:rsidR="00F56636" w:rsidRPr="00F56636" w:rsidRDefault="006854BF" w:rsidP="006854BF">
      <w:pPr>
        <w:jc w:val="center"/>
      </w:pPr>
      <w:r>
        <w:t>10530</w:t>
      </w:r>
      <w:r w:rsidR="00F56636" w:rsidRPr="00F56636">
        <w:t xml:space="preserve"> liter x 0,84 kg/liter = </w:t>
      </w:r>
      <w:r>
        <w:t>8845,2</w:t>
      </w:r>
      <w:r w:rsidR="00F56636" w:rsidRPr="00F56636">
        <w:t xml:space="preserve"> kg = </w:t>
      </w:r>
      <w:r>
        <w:t>8,845</w:t>
      </w:r>
      <w:r w:rsidR="00F56636" w:rsidRPr="00F56636">
        <w:t xml:space="preserve"> tonna gázolaj/év</w:t>
      </w:r>
    </w:p>
    <w:p w14:paraId="497DDF87" w14:textId="77777777" w:rsidR="00F56636" w:rsidRPr="00F56636" w:rsidRDefault="00F56636" w:rsidP="00850AD1">
      <w:pPr>
        <w:pStyle w:val="Listaszerbekezds"/>
      </w:pPr>
      <w:r w:rsidRPr="00F56636">
        <w:t>A szén-dioxid-kibocsátás kiszámítása:</w:t>
      </w:r>
    </w:p>
    <w:p w14:paraId="7CF52CA2" w14:textId="6F0865DC" w:rsidR="00F56636" w:rsidRPr="00F56636" w:rsidRDefault="006854BF" w:rsidP="006854BF">
      <w:pPr>
        <w:jc w:val="center"/>
      </w:pPr>
      <w:r>
        <w:t>8,845</w:t>
      </w:r>
      <w:r w:rsidR="00F56636" w:rsidRPr="00F56636">
        <w:t xml:space="preserve"> tonna üzemanyag/év x 3,166 tonna CO</w:t>
      </w:r>
      <w:r w:rsidR="00F56636" w:rsidRPr="006854BF">
        <w:rPr>
          <w:vertAlign w:val="subscript"/>
        </w:rPr>
        <w:t>2</w:t>
      </w:r>
      <w:r w:rsidR="00F56636" w:rsidRPr="00F56636">
        <w:t xml:space="preserve">/tonna = </w:t>
      </w:r>
      <w:r w:rsidR="00145C1E">
        <w:rPr>
          <w:b/>
          <w:bCs/>
        </w:rPr>
        <w:t>28,005</w:t>
      </w:r>
      <w:r w:rsidR="00F56636" w:rsidRPr="00F56636">
        <w:rPr>
          <w:b/>
          <w:bCs/>
        </w:rPr>
        <w:t xml:space="preserve"> </w:t>
      </w:r>
      <w:r w:rsidR="00145C1E">
        <w:rPr>
          <w:b/>
          <w:bCs/>
        </w:rPr>
        <w:t xml:space="preserve">t </w:t>
      </w:r>
      <w:r w:rsidR="00F56636" w:rsidRPr="00F56636">
        <w:rPr>
          <w:b/>
          <w:bCs/>
        </w:rPr>
        <w:t>CO</w:t>
      </w:r>
      <w:r w:rsidR="00F56636" w:rsidRPr="00145C1E">
        <w:rPr>
          <w:b/>
          <w:bCs/>
          <w:vertAlign w:val="subscript"/>
        </w:rPr>
        <w:t>2</w:t>
      </w:r>
      <w:r w:rsidR="00F56636" w:rsidRPr="00F56636">
        <w:rPr>
          <w:b/>
          <w:bCs/>
        </w:rPr>
        <w:t>/év</w:t>
      </w:r>
    </w:p>
    <w:p w14:paraId="64BE46F3" w14:textId="77777777" w:rsidR="00F56636" w:rsidRPr="00F56636" w:rsidRDefault="00F56636" w:rsidP="00850AD1">
      <w:pPr>
        <w:pStyle w:val="Listaszerbekezds"/>
      </w:pPr>
      <w:r w:rsidRPr="00F56636">
        <w:t>Átszámítás szén-dioxid egyenértékre (GWP = 1):</w:t>
      </w:r>
    </w:p>
    <w:p w14:paraId="72B4BB1B" w14:textId="43C8E50E" w:rsidR="00F56636" w:rsidRPr="00F56636" w:rsidRDefault="00145C1E" w:rsidP="00145C1E">
      <w:pPr>
        <w:jc w:val="center"/>
      </w:pPr>
      <w:r>
        <w:t>28,005</w:t>
      </w:r>
      <w:r w:rsidR="00F56636" w:rsidRPr="00F56636">
        <w:t xml:space="preserve"> tonna CO</w:t>
      </w:r>
      <w:r w:rsidR="00F56636" w:rsidRPr="00145C1E">
        <w:rPr>
          <w:vertAlign w:val="subscript"/>
        </w:rPr>
        <w:t>2</w:t>
      </w:r>
      <w:r w:rsidR="00F56636" w:rsidRPr="00F56636">
        <w:t xml:space="preserve">/év x 1 = </w:t>
      </w:r>
      <w:r w:rsidR="00E15A61">
        <w:rPr>
          <w:b/>
          <w:bCs/>
        </w:rPr>
        <w:t>28,005</w:t>
      </w:r>
      <w:r w:rsidR="00F56636" w:rsidRPr="00F56636">
        <w:rPr>
          <w:b/>
          <w:bCs/>
        </w:rPr>
        <w:t xml:space="preserve"> tonna CO</w:t>
      </w:r>
      <w:r w:rsidR="00F56636" w:rsidRPr="00E15A61">
        <w:rPr>
          <w:b/>
          <w:bCs/>
          <w:vertAlign w:val="subscript"/>
        </w:rPr>
        <w:t>2eq</w:t>
      </w:r>
      <w:r w:rsidR="00F56636" w:rsidRPr="00F56636">
        <w:rPr>
          <w:b/>
          <w:bCs/>
        </w:rPr>
        <w:t>/év</w:t>
      </w:r>
    </w:p>
    <w:p w14:paraId="3DCFC1A7" w14:textId="4FFA1173" w:rsidR="00E15A61" w:rsidRPr="00E15A61" w:rsidRDefault="00E15A61" w:rsidP="00E15A61">
      <w:pPr>
        <w:pStyle w:val="Cmsor3"/>
      </w:pPr>
      <w:bookmarkStart w:id="34" w:name="_Toc231161100"/>
      <w:r w:rsidRPr="00E15A61">
        <w:t>P2 pontforrás: Biztonsági szükségáramforrás dízelaggregátor vészhelyzeti CO</w:t>
      </w:r>
      <w:r w:rsidRPr="00E15A61">
        <w:rPr>
          <w:vertAlign w:val="subscript"/>
        </w:rPr>
        <w:t>2</w:t>
      </w:r>
      <w:r w:rsidRPr="00E15A61">
        <w:t xml:space="preserve"> kibocsátása</w:t>
      </w:r>
      <w:bookmarkEnd w:id="34"/>
    </w:p>
    <w:p w14:paraId="52AED0B9" w14:textId="7985A569" w:rsidR="00D81F41" w:rsidRDefault="00E15A61" w:rsidP="00D81F41">
      <w:r w:rsidRPr="00E15A61">
        <w:t>A 120 kW teljesítményű szükségáramforrás feladata az istállók kényszerszellőztetésének és az automata rendszereknek a folyamatos energiaellátása hálózati kimaradás (havária) esetén.</w:t>
      </w:r>
    </w:p>
    <w:p w14:paraId="102649AA" w14:textId="516401D1" w:rsidR="00E15A61" w:rsidRPr="00E15A61" w:rsidRDefault="00E15A61" w:rsidP="00850AD1">
      <w:pPr>
        <w:pStyle w:val="Listaszerbekezds"/>
      </w:pPr>
      <w:r w:rsidRPr="00E15A61">
        <w:rPr>
          <w:b/>
          <w:bCs/>
        </w:rPr>
        <w:t>Alkalmazott módszertan és forrásadatok:</w:t>
      </w:r>
      <w:r w:rsidRPr="00E15A61">
        <w:t xml:space="preserve"> A számítás a kérelemben rögzített legfelső tervezési futásidő-kereten és fogyasztási normákon alapul. </w:t>
      </w:r>
    </w:p>
    <w:p w14:paraId="27E4A5CC" w14:textId="5D226A01" w:rsidR="00E15A61" w:rsidRPr="00E15A61" w:rsidRDefault="00E15A61" w:rsidP="00850AD1">
      <w:pPr>
        <w:pStyle w:val="Listaszerbekezds"/>
      </w:pPr>
      <w:r w:rsidRPr="00E15A61">
        <w:rPr>
          <w:b/>
          <w:bCs/>
        </w:rPr>
        <w:lastRenderedPageBreak/>
        <w:t>Bemeneti paraméterek:</w:t>
      </w:r>
      <w:r w:rsidRPr="00E15A61">
        <w:t xml:space="preserve"> Átlagos technológiai fogyasztás: 25,0 liter/óra</w:t>
      </w:r>
      <w:r>
        <w:t>.</w:t>
      </w:r>
      <w:r w:rsidRPr="00E15A61">
        <w:t xml:space="preserve"> Konzervatív tervezési éves futásidő (felső hatósági modellezési bázis): 100 üzemóra/év</w:t>
      </w:r>
      <w:r>
        <w:t>.</w:t>
      </w:r>
      <w:r w:rsidRPr="00E15A61">
        <w:t xml:space="preserve"> </w:t>
      </w:r>
    </w:p>
    <w:p w14:paraId="29249865" w14:textId="4A17FB82" w:rsidR="00D81F41" w:rsidRDefault="00E15A61" w:rsidP="00850AD1">
      <w:pPr>
        <w:pStyle w:val="Listaszerbekezds"/>
      </w:pPr>
      <w:r w:rsidRPr="00E15A61">
        <w:t>Az éves üzemanyag-fogyasztás kiszámítása:</w:t>
      </w:r>
    </w:p>
    <w:p w14:paraId="54652590" w14:textId="36325B76" w:rsidR="00D81F41" w:rsidRDefault="00E15A61" w:rsidP="00E15A61">
      <w:pPr>
        <w:jc w:val="center"/>
      </w:pPr>
      <w:r>
        <w:t>100 óra/év * 25,0 liter/óra = 2500 liter gázolaj/év</w:t>
      </w:r>
    </w:p>
    <w:p w14:paraId="79FAEBD4" w14:textId="6C960C0D" w:rsidR="00E15A61" w:rsidRDefault="00E15A61" w:rsidP="00850AD1">
      <w:pPr>
        <w:pStyle w:val="Listaszerbekezds"/>
      </w:pPr>
      <w:r w:rsidRPr="00E15A61">
        <w:t>Tömegalapú átszámítás:</w:t>
      </w:r>
    </w:p>
    <w:p w14:paraId="32A108B5" w14:textId="41F145CC" w:rsidR="00E15A61" w:rsidRDefault="00E15A61" w:rsidP="00E15A61">
      <w:pPr>
        <w:jc w:val="center"/>
      </w:pPr>
      <w:r>
        <w:t>2500 liter * 0,84 kg/liter = 2100 kg = 2,100 tonna gá</w:t>
      </w:r>
      <w:r w:rsidR="00457D8E">
        <w:t>z</w:t>
      </w:r>
      <w:r>
        <w:t>olaj/év</w:t>
      </w:r>
    </w:p>
    <w:p w14:paraId="7E81293B" w14:textId="6302424F" w:rsidR="00E15A61" w:rsidRDefault="00E15A61" w:rsidP="00850AD1">
      <w:pPr>
        <w:pStyle w:val="Listaszerbekezds"/>
      </w:pPr>
      <w:r w:rsidRPr="00E15A61">
        <w:t>A szén-dioxid-kibocsátás kiszámítása:</w:t>
      </w:r>
    </w:p>
    <w:p w14:paraId="73930311" w14:textId="08369C3A" w:rsidR="00E15A61" w:rsidRDefault="00457D8E" w:rsidP="00E15A61">
      <w:pPr>
        <w:jc w:val="center"/>
      </w:pPr>
      <w:r>
        <w:t>2,100 tonna gázolaj/év * 3,166 tonna CO</w:t>
      </w:r>
      <w:r w:rsidRPr="00457D8E">
        <w:rPr>
          <w:vertAlign w:val="subscript"/>
        </w:rPr>
        <w:t>2</w:t>
      </w:r>
      <w:r>
        <w:t>/tonna = 6,649 tonna CO</w:t>
      </w:r>
      <w:r w:rsidRPr="00457D8E">
        <w:rPr>
          <w:vertAlign w:val="subscript"/>
        </w:rPr>
        <w:t>2</w:t>
      </w:r>
      <w:r>
        <w:t>/év.</w:t>
      </w:r>
    </w:p>
    <w:p w14:paraId="1DC62B4A" w14:textId="4F5070F5" w:rsidR="00D81F41" w:rsidRDefault="00457D8E" w:rsidP="00850AD1">
      <w:pPr>
        <w:pStyle w:val="Listaszerbekezds"/>
      </w:pPr>
      <w:r w:rsidRPr="00457D8E">
        <w:t>Átszámítás szén-dioxid egyenértékre (GWP = 1):</w:t>
      </w:r>
    </w:p>
    <w:p w14:paraId="4216D1CC" w14:textId="57409E6C" w:rsidR="00D81F41" w:rsidRDefault="00633ECB" w:rsidP="00457D8E">
      <w:pPr>
        <w:jc w:val="center"/>
      </w:pPr>
      <w:r>
        <w:t>6,649 tonna CO</w:t>
      </w:r>
      <w:r w:rsidRPr="00457D8E">
        <w:rPr>
          <w:vertAlign w:val="subscript"/>
        </w:rPr>
        <w:t>2</w:t>
      </w:r>
      <w:r>
        <w:t>/év. * 1 = 6,649 tonna CO</w:t>
      </w:r>
      <w:r w:rsidRPr="00457D8E">
        <w:rPr>
          <w:vertAlign w:val="subscript"/>
        </w:rPr>
        <w:t>2</w:t>
      </w:r>
      <w:r>
        <w:rPr>
          <w:vertAlign w:val="subscript"/>
        </w:rPr>
        <w:t>eq</w:t>
      </w:r>
      <w:r>
        <w:t>/év.</w:t>
      </w:r>
    </w:p>
    <w:p w14:paraId="3FC72390" w14:textId="6D68438C" w:rsidR="00633ECB" w:rsidRPr="00633ECB" w:rsidRDefault="00633ECB" w:rsidP="00633ECB">
      <w:pPr>
        <w:pStyle w:val="Cmsor3"/>
      </w:pPr>
      <w:bookmarkStart w:id="35" w:name="_Toc231161101"/>
      <w:r w:rsidRPr="00633ECB">
        <w:t>Telephelyi belső logisztika és egyéb mobil források CO</w:t>
      </w:r>
      <w:r w:rsidRPr="00633ECB">
        <w:rPr>
          <w:vertAlign w:val="subscript"/>
        </w:rPr>
        <w:t>2</w:t>
      </w:r>
      <w:r w:rsidRPr="00633ECB">
        <w:t xml:space="preserve"> kibocsátása</w:t>
      </w:r>
      <w:bookmarkEnd w:id="35"/>
    </w:p>
    <w:p w14:paraId="145E52FE" w14:textId="713AE6AD" w:rsidR="00D81F41" w:rsidRDefault="00633ECB" w:rsidP="00D81F41">
      <w:r w:rsidRPr="00633ECB">
        <w:t>A telepen belüli napi anyagmozgatási, rakodási, takarmány-kiszolgálási, valamint az időszakos hőlégfúvós istálló-temperálási feladatokat belső égésű motorral szerelt munkagépek és mobil eszközök végzik</w:t>
      </w:r>
    </w:p>
    <w:p w14:paraId="6646FEC7" w14:textId="0525D616" w:rsidR="00633ECB" w:rsidRDefault="00633ECB" w:rsidP="00850AD1">
      <w:pPr>
        <w:pStyle w:val="Listaszerbekezds"/>
      </w:pPr>
      <w:r w:rsidRPr="00633ECB">
        <w:rPr>
          <w:b/>
          <w:bCs/>
        </w:rPr>
        <w:t>Alkalmazott módszertan és forrásadatok:</w:t>
      </w:r>
      <w:r w:rsidRPr="00633ECB">
        <w:t xml:space="preserve"> A pontos mérleg szerinti számításhoz a kérelemben rögzített teljes telepi gázolaj-keretből levontuk a rögzített pontforrások (P1 és P2) fenti fogyasztását, így határozva meg a diffúz logisztikai és temperálási részarányt.</w:t>
      </w:r>
    </w:p>
    <w:p w14:paraId="60267870" w14:textId="5C36E2CD" w:rsidR="002D432A" w:rsidRPr="002D432A" w:rsidRDefault="002D432A" w:rsidP="00850AD1">
      <w:pPr>
        <w:pStyle w:val="Listaszerbekezds"/>
        <w:rPr>
          <w:rFonts w:ascii="Times New Roman" w:hAnsi="Times New Roman" w:cs="Times New Roman"/>
        </w:rPr>
      </w:pPr>
      <w:r w:rsidRPr="002D432A">
        <w:rPr>
          <w:b/>
          <w:bCs/>
        </w:rPr>
        <w:t>Bemeneti paraméterek:</w:t>
      </w:r>
      <w:r w:rsidRPr="002D432A">
        <w:t xml:space="preserve"> Teljes telepi üzemanyag-keret: 22120 liter/év (18580</w:t>
      </w:r>
      <w:r>
        <w:t xml:space="preserve"> </w:t>
      </w:r>
      <w:r w:rsidRPr="002D432A">
        <w:t xml:space="preserve">kg/év). Levonandó pontforrási rész (P1 + P2): 10530 l + 2500 </w:t>
      </w:r>
      <w:r>
        <w:t>l</w:t>
      </w:r>
      <w:r w:rsidRPr="002D432A">
        <w:t xml:space="preserve"> = 13030 liter/év. Fennmaradó belső mobil és diffúz keret: 22120 - 13030 = 9090 liter/év.</w:t>
      </w:r>
    </w:p>
    <w:p w14:paraId="7D057030" w14:textId="191D4153" w:rsidR="002D432A" w:rsidRDefault="000B5788" w:rsidP="00850AD1">
      <w:pPr>
        <w:pStyle w:val="Listaszerbekezds"/>
      </w:pPr>
      <w:r w:rsidRPr="000B5788">
        <w:t>Tömegalapú átszámítás (fennmaradó keret):</w:t>
      </w:r>
    </w:p>
    <w:p w14:paraId="0D293CCE" w14:textId="5822A4F9" w:rsidR="00633ECB" w:rsidRDefault="000B5788" w:rsidP="000B5788">
      <w:pPr>
        <w:jc w:val="center"/>
      </w:pPr>
      <w:r>
        <w:t>9090 liter/év * 0,84 kg/liter = 7635,6 kg = 7,635 tonna gázolaj/év</w:t>
      </w:r>
    </w:p>
    <w:p w14:paraId="7CF44CD8" w14:textId="5671DC0B" w:rsidR="00633ECB" w:rsidRDefault="000B5788" w:rsidP="00850AD1">
      <w:pPr>
        <w:pStyle w:val="Listaszerbekezds"/>
      </w:pPr>
      <w:r w:rsidRPr="000B5788">
        <w:t>A szén-dioxid-kibocsátás kiszámítása:</w:t>
      </w:r>
    </w:p>
    <w:p w14:paraId="5F42C69C" w14:textId="3ABD5F8D" w:rsidR="00633ECB" w:rsidRDefault="000B5788" w:rsidP="000B5788">
      <w:pPr>
        <w:jc w:val="center"/>
      </w:pPr>
      <w:r>
        <w:t>7,635 tonna gázolaj/év *</w:t>
      </w:r>
      <w:r w:rsidR="00850AD1">
        <w:t xml:space="preserve"> 3,166 tonna CO</w:t>
      </w:r>
      <w:r w:rsidR="00850AD1" w:rsidRPr="00457D8E">
        <w:rPr>
          <w:vertAlign w:val="subscript"/>
        </w:rPr>
        <w:t>2</w:t>
      </w:r>
      <w:r w:rsidR="00850AD1">
        <w:t>/tonna = 24,170 tonna CO</w:t>
      </w:r>
      <w:r w:rsidR="00850AD1" w:rsidRPr="00457D8E">
        <w:rPr>
          <w:vertAlign w:val="subscript"/>
        </w:rPr>
        <w:t>2</w:t>
      </w:r>
      <w:r w:rsidR="00850AD1">
        <w:t>/év</w:t>
      </w:r>
    </w:p>
    <w:p w14:paraId="29615CB0" w14:textId="1D9C09D9" w:rsidR="00633ECB" w:rsidRDefault="00850AD1" w:rsidP="00850AD1">
      <w:pPr>
        <w:pStyle w:val="Listaszerbekezds"/>
      </w:pPr>
      <w:r w:rsidRPr="00850AD1">
        <w:t>Átszámítás szén-dioxid egyenértékre (GWP = 1):</w:t>
      </w:r>
    </w:p>
    <w:p w14:paraId="4BC3F9B9" w14:textId="7F959F7B" w:rsidR="00850AD1" w:rsidRDefault="00850AD1" w:rsidP="00850AD1">
      <w:pPr>
        <w:jc w:val="center"/>
      </w:pPr>
      <w:r>
        <w:t>24,170 tonna CO</w:t>
      </w:r>
      <w:r w:rsidRPr="00457D8E">
        <w:rPr>
          <w:vertAlign w:val="subscript"/>
        </w:rPr>
        <w:t>2</w:t>
      </w:r>
      <w:r>
        <w:t>/év * 1 = 24,170 tonna CO</w:t>
      </w:r>
      <w:r w:rsidRPr="00457D8E">
        <w:rPr>
          <w:vertAlign w:val="subscript"/>
        </w:rPr>
        <w:t>2</w:t>
      </w:r>
      <w:r>
        <w:rPr>
          <w:vertAlign w:val="subscript"/>
        </w:rPr>
        <w:t>eq</w:t>
      </w:r>
      <w:r>
        <w:t>/év</w:t>
      </w:r>
    </w:p>
    <w:p w14:paraId="03D5D20A" w14:textId="3F67312F" w:rsidR="00850AD1" w:rsidRDefault="00850AD1" w:rsidP="00850AD1">
      <w:pPr>
        <w:pStyle w:val="Cmsor3"/>
      </w:pPr>
      <w:bookmarkStart w:id="36" w:name="_Toc231161102"/>
      <w:r w:rsidRPr="00016831">
        <w:t xml:space="preserve">Részösszefoglaló táblázat – </w:t>
      </w:r>
      <w:r w:rsidRPr="00850AD1">
        <w:t>Fosszilis ÜHG-kibocsátások</w:t>
      </w:r>
      <w:bookmarkEnd w:id="36"/>
    </w:p>
    <w:tbl>
      <w:tblPr>
        <w:tblStyle w:val="Fekvtblzat"/>
        <w:tblW w:w="0" w:type="auto"/>
        <w:tblLook w:val="04A0" w:firstRow="1" w:lastRow="0" w:firstColumn="1" w:lastColumn="0" w:noHBand="0" w:noVBand="1"/>
      </w:tblPr>
      <w:tblGrid>
        <w:gridCol w:w="1507"/>
        <w:gridCol w:w="1506"/>
        <w:gridCol w:w="1506"/>
        <w:gridCol w:w="1507"/>
        <w:gridCol w:w="1508"/>
        <w:gridCol w:w="1506"/>
      </w:tblGrid>
      <w:tr w:rsidR="00850AD1" w14:paraId="441CD20D" w14:textId="77777777" w:rsidTr="004B5FA2">
        <w:trPr>
          <w:cnfStyle w:val="100000000000" w:firstRow="1" w:lastRow="0" w:firstColumn="0" w:lastColumn="0" w:oddVBand="0" w:evenVBand="0" w:oddHBand="0" w:evenHBand="0" w:firstRowFirstColumn="0" w:firstRowLastColumn="0" w:lastRowFirstColumn="0" w:lastRowLastColumn="0"/>
        </w:trPr>
        <w:tc>
          <w:tcPr>
            <w:tcW w:w="1507" w:type="dxa"/>
          </w:tcPr>
          <w:p w14:paraId="3CE785E0" w14:textId="77777777" w:rsidR="00850AD1" w:rsidRDefault="00850AD1" w:rsidP="004B5FA2">
            <w:pPr>
              <w:jc w:val="center"/>
            </w:pPr>
            <w:r w:rsidRPr="00016831">
              <w:t>Forrás megnevezése</w:t>
            </w:r>
          </w:p>
        </w:tc>
        <w:tc>
          <w:tcPr>
            <w:tcW w:w="1506" w:type="dxa"/>
          </w:tcPr>
          <w:p w14:paraId="1907BDB7" w14:textId="62E9855D" w:rsidR="00850AD1" w:rsidRDefault="00AA68D4" w:rsidP="004B5FA2">
            <w:pPr>
              <w:jc w:val="center"/>
            </w:pPr>
            <w:r w:rsidRPr="00AA68D4">
              <w:t>Emisszió jellege</w:t>
            </w:r>
          </w:p>
        </w:tc>
        <w:tc>
          <w:tcPr>
            <w:tcW w:w="1506" w:type="dxa"/>
          </w:tcPr>
          <w:p w14:paraId="5905D911" w14:textId="4C03C343" w:rsidR="00850AD1" w:rsidRDefault="00850AD1" w:rsidP="004B5FA2">
            <w:pPr>
              <w:jc w:val="center"/>
            </w:pPr>
            <w:r w:rsidRPr="00016831">
              <w:t>Éves tiszta gázkibocsátás (t/év</w:t>
            </w:r>
            <w:r w:rsidR="00AA68D4">
              <w:t xml:space="preserve"> CO</w:t>
            </w:r>
            <w:r w:rsidR="00AA68D4" w:rsidRPr="00AA68D4">
              <w:rPr>
                <w:vertAlign w:val="subscript"/>
              </w:rPr>
              <w:t>2</w:t>
            </w:r>
            <w:r w:rsidRPr="00016831">
              <w:t>)</w:t>
            </w:r>
          </w:p>
        </w:tc>
        <w:tc>
          <w:tcPr>
            <w:tcW w:w="1507" w:type="dxa"/>
          </w:tcPr>
          <w:p w14:paraId="506534DF" w14:textId="77777777" w:rsidR="00850AD1" w:rsidRDefault="00850AD1" w:rsidP="004B5FA2">
            <w:pPr>
              <w:jc w:val="center"/>
            </w:pPr>
            <w:r w:rsidRPr="00016831">
              <w:t>Globális Felmelegedési Potenciál (GWP)</w:t>
            </w:r>
          </w:p>
        </w:tc>
        <w:tc>
          <w:tcPr>
            <w:tcW w:w="1508" w:type="dxa"/>
          </w:tcPr>
          <w:p w14:paraId="55AA24BB" w14:textId="77777777" w:rsidR="00850AD1" w:rsidRDefault="00850AD1" w:rsidP="004B5FA2">
            <w:pPr>
              <w:jc w:val="center"/>
            </w:pPr>
            <w:r w:rsidRPr="00016831">
              <w:t>Összesített kibocsátás (t CO</w:t>
            </w:r>
            <w:r w:rsidRPr="00016831">
              <w:rPr>
                <w:vertAlign w:val="subscript"/>
              </w:rPr>
              <w:t>2eq</w:t>
            </w:r>
            <w:r w:rsidRPr="00016831">
              <w:t>/év)</w:t>
            </w:r>
          </w:p>
        </w:tc>
        <w:tc>
          <w:tcPr>
            <w:tcW w:w="1506" w:type="dxa"/>
          </w:tcPr>
          <w:p w14:paraId="7B4FEBFA" w14:textId="77777777" w:rsidR="00850AD1" w:rsidRDefault="00850AD1" w:rsidP="004B5FA2">
            <w:pPr>
              <w:jc w:val="center"/>
            </w:pPr>
            <w:r w:rsidRPr="00B33FBD">
              <w:t>Részesedési arány a biogén forrásokból (%)</w:t>
            </w:r>
          </w:p>
        </w:tc>
      </w:tr>
      <w:tr w:rsidR="00850AD1" w14:paraId="3B444948" w14:textId="77777777" w:rsidTr="004B5FA2">
        <w:tc>
          <w:tcPr>
            <w:tcW w:w="1507" w:type="dxa"/>
          </w:tcPr>
          <w:p w14:paraId="20B31CDC" w14:textId="4CB95368" w:rsidR="00850AD1" w:rsidRDefault="00AA68D4" w:rsidP="004B5FA2">
            <w:pPr>
              <w:jc w:val="left"/>
            </w:pPr>
            <w:r w:rsidRPr="00AA68D4">
              <w:t>Bentley tetemégető (P1)</w:t>
            </w:r>
          </w:p>
        </w:tc>
        <w:tc>
          <w:tcPr>
            <w:tcW w:w="1506" w:type="dxa"/>
          </w:tcPr>
          <w:p w14:paraId="1266D920" w14:textId="0823A357" w:rsidR="00850AD1" w:rsidRDefault="00AA68D4" w:rsidP="004B5FA2">
            <w:pPr>
              <w:jc w:val="center"/>
            </w:pPr>
            <w:r w:rsidRPr="00AA68D4">
              <w:t>Pontforrás</w:t>
            </w:r>
          </w:p>
        </w:tc>
        <w:tc>
          <w:tcPr>
            <w:tcW w:w="1506" w:type="dxa"/>
          </w:tcPr>
          <w:p w14:paraId="0EA452C1" w14:textId="58395834" w:rsidR="00850AD1" w:rsidRDefault="00AA68D4" w:rsidP="004B5FA2">
            <w:pPr>
              <w:jc w:val="center"/>
            </w:pPr>
            <w:r>
              <w:t>28,005</w:t>
            </w:r>
          </w:p>
        </w:tc>
        <w:tc>
          <w:tcPr>
            <w:tcW w:w="1507" w:type="dxa"/>
          </w:tcPr>
          <w:p w14:paraId="51077D72" w14:textId="1974C7A3" w:rsidR="00850AD1" w:rsidRDefault="006062E1" w:rsidP="004B5FA2">
            <w:pPr>
              <w:jc w:val="center"/>
            </w:pPr>
            <w:r>
              <w:t>1</w:t>
            </w:r>
          </w:p>
        </w:tc>
        <w:tc>
          <w:tcPr>
            <w:tcW w:w="1508" w:type="dxa"/>
          </w:tcPr>
          <w:p w14:paraId="27645542" w14:textId="6CB29D9F" w:rsidR="00850AD1" w:rsidRDefault="006062E1" w:rsidP="004B5FA2">
            <w:pPr>
              <w:jc w:val="center"/>
            </w:pPr>
            <w:r>
              <w:t>28,008</w:t>
            </w:r>
          </w:p>
        </w:tc>
        <w:tc>
          <w:tcPr>
            <w:tcW w:w="1506" w:type="dxa"/>
          </w:tcPr>
          <w:p w14:paraId="4F278C75" w14:textId="39F7DE07" w:rsidR="00850AD1" w:rsidRDefault="006062E1" w:rsidP="004B5FA2">
            <w:pPr>
              <w:jc w:val="center"/>
            </w:pPr>
            <w:r>
              <w:t>47,61</w:t>
            </w:r>
          </w:p>
        </w:tc>
      </w:tr>
      <w:tr w:rsidR="00850AD1" w14:paraId="58B71166" w14:textId="77777777" w:rsidTr="004B5FA2">
        <w:tc>
          <w:tcPr>
            <w:tcW w:w="1507" w:type="dxa"/>
          </w:tcPr>
          <w:p w14:paraId="45BC34C2" w14:textId="73D4CAA2" w:rsidR="00850AD1" w:rsidRDefault="00AA68D4" w:rsidP="004B5FA2">
            <w:pPr>
              <w:jc w:val="left"/>
            </w:pPr>
            <w:r w:rsidRPr="00AA68D4">
              <w:t>Belső logisztika és egyéb mobil</w:t>
            </w:r>
          </w:p>
        </w:tc>
        <w:tc>
          <w:tcPr>
            <w:tcW w:w="1506" w:type="dxa"/>
          </w:tcPr>
          <w:p w14:paraId="6040DC01" w14:textId="66AF6B0B" w:rsidR="00850AD1" w:rsidRDefault="00AA68D4" w:rsidP="004B5FA2">
            <w:pPr>
              <w:jc w:val="center"/>
            </w:pPr>
            <w:r w:rsidRPr="00AA68D4">
              <w:t>Diffúz forrás</w:t>
            </w:r>
          </w:p>
        </w:tc>
        <w:tc>
          <w:tcPr>
            <w:tcW w:w="1506" w:type="dxa"/>
          </w:tcPr>
          <w:p w14:paraId="3344F0ED" w14:textId="4C5FE1C7" w:rsidR="00850AD1" w:rsidRDefault="00AA68D4" w:rsidP="004B5FA2">
            <w:pPr>
              <w:jc w:val="center"/>
            </w:pPr>
            <w:r>
              <w:t>24,170</w:t>
            </w:r>
          </w:p>
        </w:tc>
        <w:tc>
          <w:tcPr>
            <w:tcW w:w="1507" w:type="dxa"/>
          </w:tcPr>
          <w:p w14:paraId="76DB7069" w14:textId="301B7C8D" w:rsidR="00850AD1" w:rsidRDefault="006062E1" w:rsidP="004B5FA2">
            <w:pPr>
              <w:jc w:val="center"/>
            </w:pPr>
            <w:r>
              <w:t>1</w:t>
            </w:r>
          </w:p>
        </w:tc>
        <w:tc>
          <w:tcPr>
            <w:tcW w:w="1508" w:type="dxa"/>
          </w:tcPr>
          <w:p w14:paraId="5B7474D0" w14:textId="73B406D8" w:rsidR="00850AD1" w:rsidRDefault="006062E1" w:rsidP="004B5FA2">
            <w:pPr>
              <w:jc w:val="center"/>
            </w:pPr>
            <w:r>
              <w:t>24,170</w:t>
            </w:r>
          </w:p>
        </w:tc>
        <w:tc>
          <w:tcPr>
            <w:tcW w:w="1506" w:type="dxa"/>
          </w:tcPr>
          <w:p w14:paraId="1DB23564" w14:textId="57F895C6" w:rsidR="00850AD1" w:rsidRDefault="006062E1" w:rsidP="004B5FA2">
            <w:pPr>
              <w:jc w:val="center"/>
            </w:pPr>
            <w:r>
              <w:t>41,09</w:t>
            </w:r>
          </w:p>
        </w:tc>
      </w:tr>
      <w:tr w:rsidR="00850AD1" w14:paraId="7A68841A" w14:textId="77777777" w:rsidTr="004B5FA2">
        <w:tc>
          <w:tcPr>
            <w:tcW w:w="1507" w:type="dxa"/>
          </w:tcPr>
          <w:p w14:paraId="02234841" w14:textId="71A6391D" w:rsidR="00850AD1" w:rsidRDefault="00AA68D4" w:rsidP="004B5FA2">
            <w:pPr>
              <w:jc w:val="left"/>
            </w:pPr>
            <w:r w:rsidRPr="00AA68D4">
              <w:lastRenderedPageBreak/>
              <w:t>Tartalékaggregátor (P2)</w:t>
            </w:r>
          </w:p>
        </w:tc>
        <w:tc>
          <w:tcPr>
            <w:tcW w:w="1506" w:type="dxa"/>
          </w:tcPr>
          <w:p w14:paraId="1E97A30F" w14:textId="2915B55D" w:rsidR="00850AD1" w:rsidRDefault="00AA68D4" w:rsidP="004B5FA2">
            <w:pPr>
              <w:jc w:val="center"/>
            </w:pPr>
            <w:r w:rsidRPr="00AA68D4">
              <w:t>Pontforrás</w:t>
            </w:r>
          </w:p>
        </w:tc>
        <w:tc>
          <w:tcPr>
            <w:tcW w:w="1506" w:type="dxa"/>
          </w:tcPr>
          <w:p w14:paraId="3A5727D4" w14:textId="5F4ED937" w:rsidR="00850AD1" w:rsidRDefault="00AA68D4" w:rsidP="004B5FA2">
            <w:pPr>
              <w:jc w:val="center"/>
            </w:pPr>
            <w:r>
              <w:t>6,649</w:t>
            </w:r>
          </w:p>
        </w:tc>
        <w:tc>
          <w:tcPr>
            <w:tcW w:w="1507" w:type="dxa"/>
          </w:tcPr>
          <w:p w14:paraId="3C9FD565" w14:textId="2985F9E0" w:rsidR="00850AD1" w:rsidRDefault="006062E1" w:rsidP="004B5FA2">
            <w:pPr>
              <w:jc w:val="center"/>
            </w:pPr>
            <w:r>
              <w:t>1</w:t>
            </w:r>
          </w:p>
        </w:tc>
        <w:tc>
          <w:tcPr>
            <w:tcW w:w="1508" w:type="dxa"/>
          </w:tcPr>
          <w:p w14:paraId="5ACA5450" w14:textId="640271E5" w:rsidR="00850AD1" w:rsidRDefault="006062E1" w:rsidP="004B5FA2">
            <w:pPr>
              <w:jc w:val="center"/>
            </w:pPr>
            <w:r>
              <w:t>6,649</w:t>
            </w:r>
          </w:p>
        </w:tc>
        <w:tc>
          <w:tcPr>
            <w:tcW w:w="1506" w:type="dxa"/>
          </w:tcPr>
          <w:p w14:paraId="1F116BFD" w14:textId="28E9043E" w:rsidR="00850AD1" w:rsidRDefault="006062E1" w:rsidP="004B5FA2">
            <w:pPr>
              <w:jc w:val="center"/>
            </w:pPr>
            <w:r>
              <w:t>11,30</w:t>
            </w:r>
          </w:p>
        </w:tc>
      </w:tr>
      <w:tr w:rsidR="00850AD1" w14:paraId="388AC16C" w14:textId="77777777" w:rsidTr="004B5FA2">
        <w:tc>
          <w:tcPr>
            <w:tcW w:w="6026" w:type="dxa"/>
            <w:gridSpan w:val="4"/>
          </w:tcPr>
          <w:p w14:paraId="16A0C652" w14:textId="77777777" w:rsidR="00850AD1" w:rsidRPr="008F519F" w:rsidRDefault="00850AD1" w:rsidP="004B5FA2">
            <w:pPr>
              <w:jc w:val="left"/>
              <w:rPr>
                <w:b/>
                <w:bCs/>
              </w:rPr>
            </w:pPr>
            <w:r w:rsidRPr="008F519F">
              <w:rPr>
                <w:b/>
                <w:bCs/>
              </w:rPr>
              <w:t>BIOGÉN FORRÁSOK ÖSSZESEN:</w:t>
            </w:r>
          </w:p>
        </w:tc>
        <w:tc>
          <w:tcPr>
            <w:tcW w:w="1508" w:type="dxa"/>
          </w:tcPr>
          <w:p w14:paraId="30E4E86B" w14:textId="36269175" w:rsidR="00850AD1" w:rsidRPr="008F519F" w:rsidRDefault="006062E1" w:rsidP="004B5FA2">
            <w:pPr>
              <w:jc w:val="center"/>
              <w:rPr>
                <w:b/>
                <w:bCs/>
              </w:rPr>
            </w:pPr>
            <w:r>
              <w:rPr>
                <w:b/>
                <w:bCs/>
              </w:rPr>
              <w:t>58,824</w:t>
            </w:r>
          </w:p>
        </w:tc>
        <w:tc>
          <w:tcPr>
            <w:tcW w:w="1506" w:type="dxa"/>
          </w:tcPr>
          <w:p w14:paraId="58B5264A" w14:textId="77777777" w:rsidR="00850AD1" w:rsidRPr="008F519F" w:rsidRDefault="00850AD1" w:rsidP="004B5FA2">
            <w:pPr>
              <w:jc w:val="center"/>
              <w:rPr>
                <w:b/>
                <w:bCs/>
              </w:rPr>
            </w:pPr>
            <w:r w:rsidRPr="008F519F">
              <w:rPr>
                <w:b/>
                <w:bCs/>
              </w:rPr>
              <w:t>100,00</w:t>
            </w:r>
          </w:p>
        </w:tc>
      </w:tr>
    </w:tbl>
    <w:p w14:paraId="3E2B0C39" w14:textId="6609CCF1" w:rsidR="00850AD1" w:rsidRDefault="00850AD1" w:rsidP="00850AD1">
      <w:pPr>
        <w:pStyle w:val="Kpalrs"/>
      </w:pPr>
      <w:r>
        <w:fldChar w:fldCharType="begin"/>
      </w:r>
      <w:r>
        <w:instrText xml:space="preserve"> SEQ táblázat \* ARABIC </w:instrText>
      </w:r>
      <w:r>
        <w:fldChar w:fldCharType="separate"/>
      </w:r>
      <w:r w:rsidR="00040813">
        <w:t>2</w:t>
      </w:r>
      <w:r>
        <w:fldChar w:fldCharType="end"/>
      </w:r>
      <w:r>
        <w:t xml:space="preserve">. táblázat: </w:t>
      </w:r>
      <w:r w:rsidRPr="00341FC3">
        <w:t xml:space="preserve">Részösszefoglaló táblázat – </w:t>
      </w:r>
      <w:r w:rsidR="006062E1" w:rsidRPr="006062E1">
        <w:t>Fosszilis ÜHG-kibocsátások</w:t>
      </w:r>
    </w:p>
    <w:p w14:paraId="41E7127C" w14:textId="44F9B938" w:rsidR="006062E1" w:rsidRPr="006062E1" w:rsidRDefault="006062E1" w:rsidP="006062E1">
      <w:r w:rsidRPr="006062E1">
        <w:t>Megjegyzés: A fosszilis források összesített karbonlábnyoma (58,824 t CO</w:t>
      </w:r>
      <w:r w:rsidRPr="006062E1">
        <w:rPr>
          <w:vertAlign w:val="subscript"/>
        </w:rPr>
        <w:t>2eq</w:t>
      </w:r>
      <w:r w:rsidRPr="006062E1">
        <w:t>/év) a kérelem 7. táblázatában megadott teljes 18580 kg/év</w:t>
      </w:r>
      <w:r>
        <w:t xml:space="preserve"> </w:t>
      </w:r>
      <w:r w:rsidRPr="006062E1">
        <w:t>gázolaj-felhasználás közvetlen és teljes körű termikus égetési egyenlegét tükrözi, kiküszöbölve a kerekítési hibákat.</w:t>
      </w:r>
    </w:p>
    <w:p w14:paraId="27B4830E" w14:textId="7AC7359F" w:rsidR="00EC0CF1" w:rsidRPr="00EC0CF1" w:rsidRDefault="00EC0CF1" w:rsidP="00EC0CF1">
      <w:pPr>
        <w:pStyle w:val="Cmsor2"/>
      </w:pPr>
      <w:bookmarkStart w:id="37" w:name="_Toc231161103"/>
      <w:r w:rsidRPr="00EC0CF1">
        <w:t>Összesített telepi ÜHG-kibocsátási mérleg szén-dioxid egyenértékben (</w:t>
      </w:r>
      <w:r>
        <w:t>tonna CO</w:t>
      </w:r>
      <w:r w:rsidRPr="00457D8E">
        <w:rPr>
          <w:vertAlign w:val="subscript"/>
        </w:rPr>
        <w:t>2</w:t>
      </w:r>
      <w:r>
        <w:rPr>
          <w:vertAlign w:val="subscript"/>
        </w:rPr>
        <w:t>eq</w:t>
      </w:r>
      <w:r>
        <w:t>/év</w:t>
      </w:r>
      <w:r w:rsidRPr="00EC0CF1">
        <w:t>)</w:t>
      </w:r>
      <w:bookmarkEnd w:id="37"/>
    </w:p>
    <w:p w14:paraId="4877EBEE" w14:textId="675CD407" w:rsidR="00633ECB" w:rsidRDefault="00EC0CF1" w:rsidP="00D81F41">
      <w:r w:rsidRPr="00EC0CF1">
        <w:t>A tiszaszőlősi sertéstelep és hígtrágyatároló üzemeltetési fázisára vonatkozó, a biogén technológiai folyamatokból és a fosszilis társ-infrastruktúrából származó közvetlen (Scope 1) üvegházhatású gázok kibocsátásait az alábbi egységesített, hatósági főtáblázat foglalja össze.</w:t>
      </w:r>
    </w:p>
    <w:p w14:paraId="435C897D" w14:textId="28EF1199" w:rsidR="00EC0CF1" w:rsidRPr="00EC0CF1" w:rsidRDefault="00EC0CF1" w:rsidP="00EC0CF1">
      <w:r w:rsidRPr="00EC0CF1">
        <w:t>A mérleg rögzíti a tiszta gázkomponensek éves tömegét tonnában (t</w:t>
      </w:r>
      <w:r>
        <w:t>/év</w:t>
      </w:r>
      <w:r w:rsidRPr="00EC0CF1">
        <w:t>), valamint az IPCC AR5 jelentése szerinti globális felmelegedési potenciálok (GWP</w:t>
      </w:r>
      <w:r w:rsidRPr="00EC0CF1">
        <w:rPr>
          <w:vertAlign w:val="subscript"/>
        </w:rPr>
        <w:t>CH4</w:t>
      </w:r>
      <w:r w:rsidR="007F01D4">
        <w:rPr>
          <w:vertAlign w:val="subscript"/>
        </w:rPr>
        <w:t xml:space="preserve"> </w:t>
      </w:r>
      <w:r w:rsidRPr="00EC0CF1">
        <w:t>=</w:t>
      </w:r>
      <w:r w:rsidR="007F01D4">
        <w:t xml:space="preserve"> </w:t>
      </w:r>
      <w:r w:rsidRPr="00EC0CF1">
        <w:t>28, GWP</w:t>
      </w:r>
      <w:r w:rsidRPr="00EC0CF1">
        <w:rPr>
          <w:vertAlign w:val="subscript"/>
        </w:rPr>
        <w:t>N2O</w:t>
      </w:r>
      <w:r w:rsidR="007F01D4">
        <w:rPr>
          <w:vertAlign w:val="subscript"/>
        </w:rPr>
        <w:t xml:space="preserve"> </w:t>
      </w:r>
      <w:r w:rsidRPr="00EC0CF1">
        <w:t>=</w:t>
      </w:r>
      <w:r w:rsidR="007F01D4">
        <w:t xml:space="preserve"> </w:t>
      </w:r>
      <w:r w:rsidRPr="00EC0CF1">
        <w:t xml:space="preserve">265) alkalmazásával kapott szén-dioxid egyenértékeket </w:t>
      </w:r>
      <w:r w:rsidR="007F01D4">
        <w:t>(t CO</w:t>
      </w:r>
      <w:r w:rsidR="007F01D4" w:rsidRPr="00457D8E">
        <w:rPr>
          <w:vertAlign w:val="subscript"/>
        </w:rPr>
        <w:t>2</w:t>
      </w:r>
      <w:r w:rsidR="007F01D4">
        <w:rPr>
          <w:vertAlign w:val="subscript"/>
        </w:rPr>
        <w:t>eq</w:t>
      </w:r>
      <w:r w:rsidR="007F01D4">
        <w:t>/év).</w:t>
      </w:r>
    </w:p>
    <w:tbl>
      <w:tblPr>
        <w:tblStyle w:val="Fekvtblzat"/>
        <w:tblW w:w="0" w:type="auto"/>
        <w:tblLook w:val="04A0" w:firstRow="1" w:lastRow="0" w:firstColumn="1" w:lastColumn="0" w:noHBand="0" w:noVBand="1"/>
      </w:tblPr>
      <w:tblGrid>
        <w:gridCol w:w="1505"/>
        <w:gridCol w:w="1507"/>
        <w:gridCol w:w="1507"/>
        <w:gridCol w:w="1506"/>
        <w:gridCol w:w="1507"/>
        <w:gridCol w:w="1508"/>
      </w:tblGrid>
      <w:tr w:rsidR="007F01D4" w14:paraId="00A968D5" w14:textId="77777777" w:rsidTr="00807EA6">
        <w:trPr>
          <w:cnfStyle w:val="100000000000" w:firstRow="1" w:lastRow="0" w:firstColumn="0" w:lastColumn="0" w:oddVBand="0" w:evenVBand="0" w:oddHBand="0" w:evenHBand="0" w:firstRowFirstColumn="0" w:firstRowLastColumn="0" w:lastRowFirstColumn="0" w:lastRowLastColumn="0"/>
        </w:trPr>
        <w:tc>
          <w:tcPr>
            <w:tcW w:w="1505" w:type="dxa"/>
          </w:tcPr>
          <w:p w14:paraId="1A655510" w14:textId="471299ED" w:rsidR="007F01D4" w:rsidRDefault="00C0680B" w:rsidP="00D81F41">
            <w:r w:rsidRPr="00C0680B">
              <w:t>Emissziós forrás megnevezése</w:t>
            </w:r>
          </w:p>
        </w:tc>
        <w:tc>
          <w:tcPr>
            <w:tcW w:w="1507" w:type="dxa"/>
          </w:tcPr>
          <w:p w14:paraId="3C7D0873" w14:textId="3D8143B1" w:rsidR="007F01D4" w:rsidRDefault="00C0680B" w:rsidP="00D81F41">
            <w:r w:rsidRPr="00C0680B">
              <w:t>Gáz típusa</w:t>
            </w:r>
          </w:p>
        </w:tc>
        <w:tc>
          <w:tcPr>
            <w:tcW w:w="1507" w:type="dxa"/>
          </w:tcPr>
          <w:p w14:paraId="23BA021D" w14:textId="6C7C0BA7" w:rsidR="007F01D4" w:rsidRDefault="00C0680B" w:rsidP="00D81F41">
            <w:r w:rsidRPr="00C0680B">
              <w:t>Éves tiszta gázkibocsátás</w:t>
            </w:r>
            <w:r>
              <w:t xml:space="preserve"> (t/év)</w:t>
            </w:r>
          </w:p>
        </w:tc>
        <w:tc>
          <w:tcPr>
            <w:tcW w:w="1506" w:type="dxa"/>
          </w:tcPr>
          <w:p w14:paraId="31EFE050" w14:textId="2049D1F3" w:rsidR="007F01D4" w:rsidRDefault="00C0680B" w:rsidP="00D81F41">
            <w:r w:rsidRPr="00C0680B">
              <w:t>Hatásszorzó</w:t>
            </w:r>
            <w:r>
              <w:t xml:space="preserve"> (GWP)</w:t>
            </w:r>
          </w:p>
        </w:tc>
        <w:tc>
          <w:tcPr>
            <w:tcW w:w="1507" w:type="dxa"/>
          </w:tcPr>
          <w:p w14:paraId="5A7D255E" w14:textId="60592506" w:rsidR="007F01D4" w:rsidRDefault="00C0680B" w:rsidP="00D81F41">
            <w:r w:rsidRPr="00C0680B">
              <w:t>Összesített ÜHG-kibocsátás</w:t>
            </w:r>
            <w:r>
              <w:t xml:space="preserve"> (t CO</w:t>
            </w:r>
            <w:r w:rsidRPr="00457D8E">
              <w:rPr>
                <w:vertAlign w:val="subscript"/>
              </w:rPr>
              <w:t>2</w:t>
            </w:r>
            <w:r>
              <w:rPr>
                <w:vertAlign w:val="subscript"/>
              </w:rPr>
              <w:t>eq</w:t>
            </w:r>
            <w:r>
              <w:t>/év)</w:t>
            </w:r>
          </w:p>
        </w:tc>
        <w:tc>
          <w:tcPr>
            <w:tcW w:w="1508" w:type="dxa"/>
          </w:tcPr>
          <w:p w14:paraId="0E0F6BDB" w14:textId="7574B61B" w:rsidR="007F01D4" w:rsidRDefault="00C660FD" w:rsidP="00D81F41">
            <w:r w:rsidRPr="00C660FD">
              <w:t>Részesedési arány a teljes telep karbonlábnyomából (%)</w:t>
            </w:r>
          </w:p>
        </w:tc>
      </w:tr>
      <w:tr w:rsidR="00807EA6" w14:paraId="6A81CA6A" w14:textId="77777777" w:rsidTr="00807EA6">
        <w:tc>
          <w:tcPr>
            <w:tcW w:w="7532" w:type="dxa"/>
            <w:gridSpan w:val="5"/>
          </w:tcPr>
          <w:p w14:paraId="327FD419" w14:textId="7E079111" w:rsidR="00807EA6" w:rsidRDefault="00807EA6" w:rsidP="00D81F41">
            <w:r w:rsidRPr="00E90C4D">
              <w:t>BIOGÉN TECHNOLÓGIAI KIBOCSÁTÁSOK</w:t>
            </w:r>
          </w:p>
        </w:tc>
        <w:tc>
          <w:tcPr>
            <w:tcW w:w="1508" w:type="dxa"/>
          </w:tcPr>
          <w:p w14:paraId="46B6B670" w14:textId="3DBA8887" w:rsidR="00807EA6" w:rsidRDefault="00807EA6" w:rsidP="00C4791E">
            <w:pPr>
              <w:jc w:val="center"/>
            </w:pPr>
            <w:r>
              <w:t>90,50</w:t>
            </w:r>
          </w:p>
        </w:tc>
      </w:tr>
      <w:tr w:rsidR="007F01D4" w14:paraId="25DA3539" w14:textId="77777777" w:rsidTr="00807EA6">
        <w:tc>
          <w:tcPr>
            <w:tcW w:w="1505" w:type="dxa"/>
          </w:tcPr>
          <w:p w14:paraId="103F3BA6" w14:textId="431C3112" w:rsidR="007F01D4" w:rsidRDefault="00E90C4D" w:rsidP="00D81F41">
            <w:r w:rsidRPr="00E90C4D">
              <w:t>Sertések enterális fermentációja (emésztés)</w:t>
            </w:r>
          </w:p>
        </w:tc>
        <w:tc>
          <w:tcPr>
            <w:tcW w:w="1507" w:type="dxa"/>
          </w:tcPr>
          <w:p w14:paraId="64DFFB6F" w14:textId="248C89FC" w:rsidR="007F01D4" w:rsidRDefault="003B4C46" w:rsidP="00C4791E">
            <w:pPr>
              <w:jc w:val="center"/>
            </w:pPr>
            <w:r>
              <w:t>CH</w:t>
            </w:r>
            <w:r w:rsidRPr="003B4C46">
              <w:rPr>
                <w:vertAlign w:val="subscript"/>
              </w:rPr>
              <w:t>4</w:t>
            </w:r>
          </w:p>
        </w:tc>
        <w:tc>
          <w:tcPr>
            <w:tcW w:w="1507" w:type="dxa"/>
          </w:tcPr>
          <w:p w14:paraId="7FBDD100" w14:textId="562494D9" w:rsidR="007F01D4" w:rsidRDefault="003B4C46" w:rsidP="00C4791E">
            <w:pPr>
              <w:jc w:val="center"/>
            </w:pPr>
            <w:r>
              <w:t>7,800</w:t>
            </w:r>
          </w:p>
        </w:tc>
        <w:tc>
          <w:tcPr>
            <w:tcW w:w="1506" w:type="dxa"/>
          </w:tcPr>
          <w:p w14:paraId="3007DA9F" w14:textId="7F669A20" w:rsidR="007F01D4" w:rsidRDefault="003B4C46" w:rsidP="00C4791E">
            <w:pPr>
              <w:jc w:val="center"/>
            </w:pPr>
            <w:r>
              <w:t>28</w:t>
            </w:r>
          </w:p>
        </w:tc>
        <w:tc>
          <w:tcPr>
            <w:tcW w:w="1507" w:type="dxa"/>
          </w:tcPr>
          <w:p w14:paraId="385AD5B6" w14:textId="3D32BC16" w:rsidR="007F01D4" w:rsidRDefault="00807EA6" w:rsidP="00C4791E">
            <w:pPr>
              <w:jc w:val="center"/>
            </w:pPr>
            <w:r>
              <w:t>218,400</w:t>
            </w:r>
          </w:p>
        </w:tc>
        <w:tc>
          <w:tcPr>
            <w:tcW w:w="1508" w:type="dxa"/>
          </w:tcPr>
          <w:p w14:paraId="0FC579B1" w14:textId="0F43D84A" w:rsidR="007F01D4" w:rsidRDefault="00807EA6" w:rsidP="00C4791E">
            <w:pPr>
              <w:jc w:val="center"/>
            </w:pPr>
            <w:r>
              <w:t>35,28</w:t>
            </w:r>
          </w:p>
        </w:tc>
      </w:tr>
      <w:tr w:rsidR="007F01D4" w14:paraId="49A7E443" w14:textId="77777777" w:rsidTr="00807EA6">
        <w:tc>
          <w:tcPr>
            <w:tcW w:w="1505" w:type="dxa"/>
          </w:tcPr>
          <w:p w14:paraId="3F388ED8" w14:textId="11B65A24" w:rsidR="007F01D4" w:rsidRDefault="00E90C4D" w:rsidP="00D81F41">
            <w:r w:rsidRPr="00E90C4D">
              <w:t>Istálló alatti lagúnák és külső ponyvázott tároló</w:t>
            </w:r>
          </w:p>
        </w:tc>
        <w:tc>
          <w:tcPr>
            <w:tcW w:w="1507" w:type="dxa"/>
          </w:tcPr>
          <w:p w14:paraId="77CCC4B7" w14:textId="563B5F11" w:rsidR="007F01D4" w:rsidRDefault="003B4C46" w:rsidP="00C4791E">
            <w:pPr>
              <w:jc w:val="center"/>
            </w:pPr>
            <w:r>
              <w:t>CH</w:t>
            </w:r>
            <w:r w:rsidRPr="003B4C46">
              <w:rPr>
                <w:vertAlign w:val="subscript"/>
              </w:rPr>
              <w:t>4</w:t>
            </w:r>
          </w:p>
        </w:tc>
        <w:tc>
          <w:tcPr>
            <w:tcW w:w="1507" w:type="dxa"/>
          </w:tcPr>
          <w:p w14:paraId="05A38EEE" w14:textId="05666CB8" w:rsidR="007F01D4" w:rsidRDefault="003B4C46" w:rsidP="00C4791E">
            <w:pPr>
              <w:jc w:val="center"/>
            </w:pPr>
            <w:r>
              <w:t>11,128</w:t>
            </w:r>
          </w:p>
        </w:tc>
        <w:tc>
          <w:tcPr>
            <w:tcW w:w="1506" w:type="dxa"/>
          </w:tcPr>
          <w:p w14:paraId="6EAEEA0B" w14:textId="4029153B" w:rsidR="007F01D4" w:rsidRDefault="003B4C46" w:rsidP="00C4791E">
            <w:pPr>
              <w:jc w:val="center"/>
            </w:pPr>
            <w:r>
              <w:t>28</w:t>
            </w:r>
          </w:p>
        </w:tc>
        <w:tc>
          <w:tcPr>
            <w:tcW w:w="1507" w:type="dxa"/>
          </w:tcPr>
          <w:p w14:paraId="4755A0EE" w14:textId="7AD7EE2A" w:rsidR="007F01D4" w:rsidRDefault="00807EA6" w:rsidP="00C4791E">
            <w:pPr>
              <w:jc w:val="center"/>
            </w:pPr>
            <w:r>
              <w:t>311,584</w:t>
            </w:r>
          </w:p>
        </w:tc>
        <w:tc>
          <w:tcPr>
            <w:tcW w:w="1508" w:type="dxa"/>
          </w:tcPr>
          <w:p w14:paraId="3B0BAAE5" w14:textId="495106E7" w:rsidR="007F01D4" w:rsidRDefault="00807EA6" w:rsidP="00C4791E">
            <w:pPr>
              <w:jc w:val="center"/>
            </w:pPr>
            <w:r>
              <w:t>50,33</w:t>
            </w:r>
          </w:p>
        </w:tc>
      </w:tr>
      <w:tr w:rsidR="007F01D4" w14:paraId="34B20F0F" w14:textId="77777777" w:rsidTr="00807EA6">
        <w:tc>
          <w:tcPr>
            <w:tcW w:w="1505" w:type="dxa"/>
          </w:tcPr>
          <w:p w14:paraId="48ECCCB6" w14:textId="2F17FAF6" w:rsidR="007F01D4" w:rsidRDefault="00E90C4D" w:rsidP="00D81F41">
            <w:r w:rsidRPr="00E90C4D">
              <w:t>Trágyakezelés nitrogén-transzmissziója</w:t>
            </w:r>
          </w:p>
        </w:tc>
        <w:tc>
          <w:tcPr>
            <w:tcW w:w="1507" w:type="dxa"/>
          </w:tcPr>
          <w:p w14:paraId="3F762AF3" w14:textId="471EA697" w:rsidR="007F01D4" w:rsidRDefault="003B4C46" w:rsidP="00C4791E">
            <w:pPr>
              <w:jc w:val="center"/>
            </w:pPr>
            <w:r>
              <w:t>N</w:t>
            </w:r>
            <w:r w:rsidRPr="003B4C46">
              <w:rPr>
                <w:vertAlign w:val="subscript"/>
              </w:rPr>
              <w:t>2</w:t>
            </w:r>
            <w:r>
              <w:t>O</w:t>
            </w:r>
          </w:p>
        </w:tc>
        <w:tc>
          <w:tcPr>
            <w:tcW w:w="1507" w:type="dxa"/>
          </w:tcPr>
          <w:p w14:paraId="335A7509" w14:textId="6FE92DC6" w:rsidR="007F01D4" w:rsidRDefault="003B4C46" w:rsidP="00C4791E">
            <w:pPr>
              <w:jc w:val="center"/>
            </w:pPr>
            <w:r>
              <w:t>0,1144</w:t>
            </w:r>
          </w:p>
        </w:tc>
        <w:tc>
          <w:tcPr>
            <w:tcW w:w="1506" w:type="dxa"/>
          </w:tcPr>
          <w:p w14:paraId="30489C0F" w14:textId="55733DBA" w:rsidR="007F01D4" w:rsidRDefault="003B4C46" w:rsidP="00C4791E">
            <w:pPr>
              <w:jc w:val="center"/>
            </w:pPr>
            <w:r>
              <w:t>265</w:t>
            </w:r>
          </w:p>
        </w:tc>
        <w:tc>
          <w:tcPr>
            <w:tcW w:w="1507" w:type="dxa"/>
          </w:tcPr>
          <w:p w14:paraId="6C97B15B" w14:textId="7E0E9FB4" w:rsidR="007F01D4" w:rsidRDefault="00807EA6" w:rsidP="00C4791E">
            <w:pPr>
              <w:jc w:val="center"/>
            </w:pPr>
            <w:r>
              <w:t>30,316</w:t>
            </w:r>
          </w:p>
        </w:tc>
        <w:tc>
          <w:tcPr>
            <w:tcW w:w="1508" w:type="dxa"/>
          </w:tcPr>
          <w:p w14:paraId="127BDBF5" w14:textId="51A406BB" w:rsidR="007F01D4" w:rsidRDefault="00807EA6" w:rsidP="00C4791E">
            <w:pPr>
              <w:jc w:val="center"/>
            </w:pPr>
            <w:r>
              <w:t>4,89</w:t>
            </w:r>
          </w:p>
        </w:tc>
      </w:tr>
      <w:tr w:rsidR="00807EA6" w14:paraId="13B8F427" w14:textId="77777777" w:rsidTr="00807EA6">
        <w:tc>
          <w:tcPr>
            <w:tcW w:w="7532" w:type="dxa"/>
            <w:gridSpan w:val="5"/>
          </w:tcPr>
          <w:p w14:paraId="66922944" w14:textId="5A600E9D" w:rsidR="00807EA6" w:rsidRDefault="00807EA6" w:rsidP="00D81F41">
            <w:r w:rsidRPr="00E90C4D">
              <w:lastRenderedPageBreak/>
              <w:t>FOSSZILIS ENERGETIKAI ÉS LOGISZTIKAI KIBOCSÁTÁSOK</w:t>
            </w:r>
          </w:p>
        </w:tc>
        <w:tc>
          <w:tcPr>
            <w:tcW w:w="1508" w:type="dxa"/>
          </w:tcPr>
          <w:p w14:paraId="7E62147D" w14:textId="10A48317" w:rsidR="00807EA6" w:rsidRDefault="00807EA6" w:rsidP="00C4791E">
            <w:pPr>
              <w:jc w:val="center"/>
            </w:pPr>
            <w:r>
              <w:t>9,50</w:t>
            </w:r>
          </w:p>
        </w:tc>
      </w:tr>
      <w:tr w:rsidR="007F01D4" w14:paraId="00A99AFD" w14:textId="77777777" w:rsidTr="00807EA6">
        <w:tc>
          <w:tcPr>
            <w:tcW w:w="1505" w:type="dxa"/>
          </w:tcPr>
          <w:p w14:paraId="7EADF5DC" w14:textId="592BB46C" w:rsidR="007F01D4" w:rsidRDefault="00E90C4D" w:rsidP="00D81F41">
            <w:r w:rsidRPr="00E90C4D">
              <w:t>Bentley 1000 AIS 064 Cyclone tetemégető (P1)</w:t>
            </w:r>
          </w:p>
        </w:tc>
        <w:tc>
          <w:tcPr>
            <w:tcW w:w="1507" w:type="dxa"/>
          </w:tcPr>
          <w:p w14:paraId="72BDE916" w14:textId="12101FB9" w:rsidR="007F01D4" w:rsidRDefault="003B4C46" w:rsidP="00C4791E">
            <w:pPr>
              <w:jc w:val="center"/>
            </w:pPr>
            <w:r>
              <w:t>CO</w:t>
            </w:r>
            <w:r w:rsidRPr="003B4C46">
              <w:rPr>
                <w:vertAlign w:val="subscript"/>
              </w:rPr>
              <w:t>2</w:t>
            </w:r>
          </w:p>
        </w:tc>
        <w:tc>
          <w:tcPr>
            <w:tcW w:w="1507" w:type="dxa"/>
          </w:tcPr>
          <w:p w14:paraId="7AA3EE0B" w14:textId="0D3F8E0A" w:rsidR="007F01D4" w:rsidRDefault="003B4C46" w:rsidP="00C4791E">
            <w:pPr>
              <w:jc w:val="center"/>
            </w:pPr>
            <w:r>
              <w:t>28,005</w:t>
            </w:r>
          </w:p>
        </w:tc>
        <w:tc>
          <w:tcPr>
            <w:tcW w:w="1506" w:type="dxa"/>
          </w:tcPr>
          <w:p w14:paraId="7DF02257" w14:textId="4113EE2A" w:rsidR="007F01D4" w:rsidRDefault="003B4C46" w:rsidP="00C4791E">
            <w:pPr>
              <w:jc w:val="center"/>
            </w:pPr>
            <w:r>
              <w:t>1</w:t>
            </w:r>
          </w:p>
        </w:tc>
        <w:tc>
          <w:tcPr>
            <w:tcW w:w="1507" w:type="dxa"/>
          </w:tcPr>
          <w:p w14:paraId="006257AC" w14:textId="4FC2DA32" w:rsidR="007F01D4" w:rsidRDefault="00807EA6" w:rsidP="00C4791E">
            <w:pPr>
              <w:jc w:val="center"/>
            </w:pPr>
            <w:r>
              <w:t>28,005</w:t>
            </w:r>
          </w:p>
        </w:tc>
        <w:tc>
          <w:tcPr>
            <w:tcW w:w="1508" w:type="dxa"/>
          </w:tcPr>
          <w:p w14:paraId="57CA22E5" w14:textId="4385D3B9" w:rsidR="007F01D4" w:rsidRDefault="00807EA6" w:rsidP="00C4791E">
            <w:pPr>
              <w:jc w:val="center"/>
            </w:pPr>
            <w:r>
              <w:t>4,52</w:t>
            </w:r>
          </w:p>
        </w:tc>
      </w:tr>
      <w:tr w:rsidR="007F01D4" w14:paraId="3D2436B0" w14:textId="77777777" w:rsidTr="00807EA6">
        <w:tc>
          <w:tcPr>
            <w:tcW w:w="1505" w:type="dxa"/>
          </w:tcPr>
          <w:p w14:paraId="702A3162" w14:textId="4EBEC155" w:rsidR="007F01D4" w:rsidRDefault="00E90C4D" w:rsidP="00D81F41">
            <w:r w:rsidRPr="00E90C4D">
              <w:t>Telephelyi belső logisztika és egyéb mobil források</w:t>
            </w:r>
          </w:p>
        </w:tc>
        <w:tc>
          <w:tcPr>
            <w:tcW w:w="1507" w:type="dxa"/>
          </w:tcPr>
          <w:p w14:paraId="1DB57384" w14:textId="1BC19633" w:rsidR="007F01D4" w:rsidRDefault="003B4C46" w:rsidP="00C4791E">
            <w:pPr>
              <w:jc w:val="center"/>
            </w:pPr>
            <w:r>
              <w:t>CO</w:t>
            </w:r>
            <w:r w:rsidRPr="003B4C46">
              <w:rPr>
                <w:vertAlign w:val="subscript"/>
              </w:rPr>
              <w:t>2</w:t>
            </w:r>
          </w:p>
        </w:tc>
        <w:tc>
          <w:tcPr>
            <w:tcW w:w="1507" w:type="dxa"/>
          </w:tcPr>
          <w:p w14:paraId="551D4C9E" w14:textId="3288E4D0" w:rsidR="007F01D4" w:rsidRDefault="003B4C46" w:rsidP="00C4791E">
            <w:pPr>
              <w:jc w:val="center"/>
            </w:pPr>
            <w:r>
              <w:t>24,170</w:t>
            </w:r>
          </w:p>
        </w:tc>
        <w:tc>
          <w:tcPr>
            <w:tcW w:w="1506" w:type="dxa"/>
          </w:tcPr>
          <w:p w14:paraId="6011360B" w14:textId="34A49780" w:rsidR="007F01D4" w:rsidRDefault="003B4C46" w:rsidP="00C4791E">
            <w:pPr>
              <w:jc w:val="center"/>
            </w:pPr>
            <w:r>
              <w:t>1</w:t>
            </w:r>
          </w:p>
        </w:tc>
        <w:tc>
          <w:tcPr>
            <w:tcW w:w="1507" w:type="dxa"/>
          </w:tcPr>
          <w:p w14:paraId="0F532C60" w14:textId="25EDCF8B" w:rsidR="007F01D4" w:rsidRDefault="00807EA6" w:rsidP="00C4791E">
            <w:pPr>
              <w:jc w:val="center"/>
            </w:pPr>
            <w:r>
              <w:t>24,170</w:t>
            </w:r>
          </w:p>
        </w:tc>
        <w:tc>
          <w:tcPr>
            <w:tcW w:w="1508" w:type="dxa"/>
          </w:tcPr>
          <w:p w14:paraId="04DA1354" w14:textId="12C1B9AB" w:rsidR="007F01D4" w:rsidRDefault="00807EA6" w:rsidP="00C4791E">
            <w:pPr>
              <w:jc w:val="center"/>
            </w:pPr>
            <w:r>
              <w:t>3,91</w:t>
            </w:r>
          </w:p>
        </w:tc>
      </w:tr>
      <w:tr w:rsidR="007F01D4" w14:paraId="7E1B9BA5" w14:textId="77777777" w:rsidTr="00807EA6">
        <w:tc>
          <w:tcPr>
            <w:tcW w:w="1505" w:type="dxa"/>
          </w:tcPr>
          <w:p w14:paraId="2DF8901C" w14:textId="4EBE9BC9" w:rsidR="007F01D4" w:rsidRDefault="00E90C4D" w:rsidP="00D81F41">
            <w:r w:rsidRPr="00E90C4D">
              <w:t>Zenessis Baudouin biztonsági szükségaggregátor (P2)</w:t>
            </w:r>
          </w:p>
        </w:tc>
        <w:tc>
          <w:tcPr>
            <w:tcW w:w="1507" w:type="dxa"/>
          </w:tcPr>
          <w:p w14:paraId="33BD5DF6" w14:textId="29ADD279" w:rsidR="007F01D4" w:rsidRDefault="003B4C46" w:rsidP="00C4791E">
            <w:pPr>
              <w:jc w:val="center"/>
            </w:pPr>
            <w:r>
              <w:t>CO</w:t>
            </w:r>
            <w:r w:rsidRPr="003B4C46">
              <w:rPr>
                <w:vertAlign w:val="subscript"/>
              </w:rPr>
              <w:t>2</w:t>
            </w:r>
          </w:p>
        </w:tc>
        <w:tc>
          <w:tcPr>
            <w:tcW w:w="1507" w:type="dxa"/>
          </w:tcPr>
          <w:p w14:paraId="02CA6D67" w14:textId="1D931BA5" w:rsidR="007F01D4" w:rsidRDefault="003B4C46" w:rsidP="00C4791E">
            <w:pPr>
              <w:jc w:val="center"/>
            </w:pPr>
            <w:r>
              <w:t>6,649</w:t>
            </w:r>
          </w:p>
        </w:tc>
        <w:tc>
          <w:tcPr>
            <w:tcW w:w="1506" w:type="dxa"/>
          </w:tcPr>
          <w:p w14:paraId="2AD3C363" w14:textId="2954E5F7" w:rsidR="007F01D4" w:rsidRDefault="003B4C46" w:rsidP="00C4791E">
            <w:pPr>
              <w:jc w:val="center"/>
            </w:pPr>
            <w:r>
              <w:t>1</w:t>
            </w:r>
          </w:p>
        </w:tc>
        <w:tc>
          <w:tcPr>
            <w:tcW w:w="1507" w:type="dxa"/>
          </w:tcPr>
          <w:p w14:paraId="18FB84F0" w14:textId="38DE64C8" w:rsidR="007F01D4" w:rsidRDefault="00807EA6" w:rsidP="00C4791E">
            <w:pPr>
              <w:jc w:val="center"/>
            </w:pPr>
            <w:r>
              <w:t>6,649</w:t>
            </w:r>
          </w:p>
        </w:tc>
        <w:tc>
          <w:tcPr>
            <w:tcW w:w="1508" w:type="dxa"/>
          </w:tcPr>
          <w:p w14:paraId="042798BF" w14:textId="04790A3E" w:rsidR="007F01D4" w:rsidRDefault="00807EA6" w:rsidP="00C4791E">
            <w:pPr>
              <w:jc w:val="center"/>
            </w:pPr>
            <w:r>
              <w:t>1,07</w:t>
            </w:r>
          </w:p>
        </w:tc>
      </w:tr>
      <w:tr w:rsidR="00C4791E" w14:paraId="3B2953D4" w14:textId="77777777" w:rsidTr="00A5327B">
        <w:tc>
          <w:tcPr>
            <w:tcW w:w="6025" w:type="dxa"/>
            <w:gridSpan w:val="4"/>
          </w:tcPr>
          <w:p w14:paraId="2BD4B5D4" w14:textId="7D91CB7E" w:rsidR="00C4791E" w:rsidRPr="00C4791E" w:rsidRDefault="00C4791E" w:rsidP="00D81F41">
            <w:pPr>
              <w:rPr>
                <w:b/>
                <w:bCs/>
              </w:rPr>
            </w:pPr>
            <w:r w:rsidRPr="00C4791E">
              <w:rPr>
                <w:b/>
                <w:bCs/>
              </w:rPr>
              <w:t>MINDÖSSZESEN (A TELEP TELJES SCOPE 1 KARBONLÁB NYOMA):</w:t>
            </w:r>
          </w:p>
        </w:tc>
        <w:tc>
          <w:tcPr>
            <w:tcW w:w="1507" w:type="dxa"/>
          </w:tcPr>
          <w:p w14:paraId="1A504D5A" w14:textId="38A1AD22" w:rsidR="00C4791E" w:rsidRPr="00C4791E" w:rsidRDefault="00C4791E" w:rsidP="00C4791E">
            <w:pPr>
              <w:jc w:val="center"/>
              <w:rPr>
                <w:b/>
                <w:bCs/>
              </w:rPr>
            </w:pPr>
            <w:r w:rsidRPr="00C4791E">
              <w:rPr>
                <w:b/>
                <w:bCs/>
              </w:rPr>
              <w:t>619,124</w:t>
            </w:r>
          </w:p>
        </w:tc>
        <w:tc>
          <w:tcPr>
            <w:tcW w:w="1508" w:type="dxa"/>
          </w:tcPr>
          <w:p w14:paraId="15B4262D" w14:textId="09481466" w:rsidR="00C4791E" w:rsidRPr="00C4791E" w:rsidRDefault="00C4791E" w:rsidP="00C4791E">
            <w:pPr>
              <w:jc w:val="center"/>
              <w:rPr>
                <w:b/>
                <w:bCs/>
              </w:rPr>
            </w:pPr>
            <w:r w:rsidRPr="00C4791E">
              <w:rPr>
                <w:b/>
                <w:bCs/>
              </w:rPr>
              <w:t>100</w:t>
            </w:r>
          </w:p>
        </w:tc>
      </w:tr>
    </w:tbl>
    <w:p w14:paraId="3FDC1043" w14:textId="063A14E8" w:rsidR="00C660FD" w:rsidRDefault="00C660FD" w:rsidP="00C660FD">
      <w:pPr>
        <w:pStyle w:val="Kpalrs"/>
      </w:pPr>
      <w:r>
        <w:fldChar w:fldCharType="begin"/>
      </w:r>
      <w:r>
        <w:instrText xml:space="preserve"> SEQ táblázat \* ARABIC </w:instrText>
      </w:r>
      <w:r>
        <w:fldChar w:fldCharType="separate"/>
      </w:r>
      <w:r w:rsidR="00040813">
        <w:t>3</w:t>
      </w:r>
      <w:r>
        <w:fldChar w:fldCharType="end"/>
      </w:r>
      <w:r>
        <w:t xml:space="preserve">. táblázat: </w:t>
      </w:r>
      <w:r w:rsidR="00C4791E" w:rsidRPr="00C4791E">
        <w:t>Összesített telepi ÜHG-kibocsátási mérleg szén-dioxid egyen-értékben (tonna CO</w:t>
      </w:r>
      <w:r w:rsidR="00C4791E" w:rsidRPr="00C4791E">
        <w:rPr>
          <w:vertAlign w:val="subscript"/>
        </w:rPr>
        <w:t>2eq</w:t>
      </w:r>
      <w:r w:rsidR="00C4791E" w:rsidRPr="00C4791E">
        <w:t>/év)</w:t>
      </w:r>
    </w:p>
    <w:p w14:paraId="70E8CA4F" w14:textId="706050F6" w:rsidR="00633ECB" w:rsidRDefault="00C4791E" w:rsidP="00D81F41">
      <w:r>
        <w:t>K</w:t>
      </w:r>
      <w:r w:rsidRPr="00C4791E">
        <w:t>ibocsátási adatsor szakmai kiértékelése</w:t>
      </w:r>
      <w:r>
        <w:t>:</w:t>
      </w:r>
    </w:p>
    <w:p w14:paraId="0EC3079F" w14:textId="6E8E18A7" w:rsidR="00C4791E" w:rsidRPr="00C4791E" w:rsidRDefault="00C4791E" w:rsidP="00C4791E">
      <w:r w:rsidRPr="00C4791E">
        <w:rPr>
          <w:b/>
          <w:bCs/>
        </w:rPr>
        <w:t>A biogén dominancia igazolása:</w:t>
      </w:r>
      <w:r w:rsidRPr="00C4791E">
        <w:t xml:space="preserve"> A számszerűsített mérleg alapján a tervezett tevékenység teljes várható közvetlen ÜHG-kibocsátása </w:t>
      </w:r>
      <w:r w:rsidRPr="00C4791E">
        <w:rPr>
          <w:b/>
          <w:bCs/>
        </w:rPr>
        <w:t>619,124 tonna CO</w:t>
      </w:r>
      <w:r w:rsidRPr="0031169A">
        <w:rPr>
          <w:b/>
          <w:bCs/>
          <w:vertAlign w:val="subscript"/>
        </w:rPr>
        <w:t>2eq</w:t>
      </w:r>
      <w:r w:rsidRPr="00C4791E">
        <w:rPr>
          <w:b/>
          <w:bCs/>
        </w:rPr>
        <w:t>/év</w:t>
      </w:r>
      <w:r w:rsidRPr="00C4791E">
        <w:t xml:space="preserve">. Ennek döntő többsége, </w:t>
      </w:r>
      <w:r w:rsidRPr="00C4791E">
        <w:rPr>
          <w:b/>
          <w:bCs/>
        </w:rPr>
        <w:t>90,50%-a</w:t>
      </w:r>
      <w:r w:rsidRPr="00C4791E">
        <w:t xml:space="preserve"> (560,300</w:t>
      </w:r>
      <w:r w:rsidR="0031169A">
        <w:t xml:space="preserve"> </w:t>
      </w:r>
      <w:r w:rsidRPr="00C4791E">
        <w:t>t CO</w:t>
      </w:r>
      <w:r w:rsidRPr="0031169A">
        <w:rPr>
          <w:vertAlign w:val="subscript"/>
        </w:rPr>
        <w:t>2eq</w:t>
      </w:r>
      <w:r w:rsidRPr="00C4791E">
        <w:t>/</w:t>
      </w:r>
      <w:r w:rsidR="0031169A">
        <w:t>év</w:t>
      </w:r>
      <w:r w:rsidRPr="00C4791E">
        <w:t>) biogén eredetű (CH</w:t>
      </w:r>
      <w:r w:rsidRPr="0031169A">
        <w:rPr>
          <w:vertAlign w:val="subscript"/>
        </w:rPr>
        <w:t>4</w:t>
      </w:r>
      <w:r w:rsidRPr="00C4791E">
        <w:t xml:space="preserve"> és N</w:t>
      </w:r>
      <w:r w:rsidRPr="0031169A">
        <w:rPr>
          <w:vertAlign w:val="subscript"/>
        </w:rPr>
        <w:t>2</w:t>
      </w:r>
      <w:r w:rsidRPr="00C4791E">
        <w:t>O), amely az intenzív állattartás elkerülhetetlen biológiai folyamataiból fakad.</w:t>
      </w:r>
    </w:p>
    <w:p w14:paraId="6B08293D" w14:textId="7A0EA271" w:rsidR="00C4791E" w:rsidRPr="00C4791E" w:rsidRDefault="00C4791E" w:rsidP="00C4791E">
      <w:r w:rsidRPr="00C4791E">
        <w:rPr>
          <w:b/>
          <w:bCs/>
        </w:rPr>
        <w:t>A fosszilis lábnyom korlátozása:</w:t>
      </w:r>
      <w:r w:rsidRPr="00C4791E">
        <w:t xml:space="preserve"> A telephely üzemeltetéséhez szükséges gázolaj-égetésből származó nem-biogén szén-dioxid-kibocsátás mindössze </w:t>
      </w:r>
      <w:r w:rsidRPr="00C4791E">
        <w:rPr>
          <w:b/>
          <w:bCs/>
        </w:rPr>
        <w:t>58,824 t/év</w:t>
      </w:r>
      <w:r w:rsidRPr="00C4791E">
        <w:t xml:space="preserve">, ami a teljes telepi karbonlábnyomnak csupán a </w:t>
      </w:r>
      <w:r w:rsidRPr="00C4791E">
        <w:rPr>
          <w:b/>
          <w:bCs/>
        </w:rPr>
        <w:t>9,50%-át</w:t>
      </w:r>
      <w:r w:rsidRPr="00C4791E">
        <w:t xml:space="preserve"> teszi ki. Ez az alacsony érték igazolja, hogy a folyamatos fűtési, hűtési és melegvíz-ellátási rendszerek elektromos platformra helyezése hatékonyan minimalizálja a direkt telepi klímaterhelést.</w:t>
      </w:r>
    </w:p>
    <w:p w14:paraId="5E08685F" w14:textId="1C300335" w:rsidR="00EC0CF1" w:rsidRDefault="00C11872" w:rsidP="00C11872">
      <w:pPr>
        <w:pStyle w:val="Cmsor1"/>
      </w:pPr>
      <w:bookmarkStart w:id="38" w:name="_Toc231161104"/>
      <w:r w:rsidRPr="00C11872">
        <w:lastRenderedPageBreak/>
        <w:t>Éghajlatváltozáshoz való alkalmazkodási és kibocsátás-csökkentési intézkedések</w:t>
      </w:r>
      <w:bookmarkEnd w:id="38"/>
    </w:p>
    <w:p w14:paraId="1E51496F" w14:textId="74E63BD3" w:rsidR="00EC0CF1" w:rsidRDefault="00C11872" w:rsidP="00D81F41">
      <w:r w:rsidRPr="00C11872">
        <w:t>Jelen fejezet a tervezett beruházás azon – éghajlati, ökológiai és környezeti szempontból hasznos – alkalmazkodási (adaptációs) és kibocsátás-csökkentési (mitigációs) intézkedéseit mutatja be, amelyek megvalósítása technikailag megalapozott, gazdaságilag racionális és nem jár aránytalanul magas költséggel. Az intézkedések célja a telephely közvetlen és közvetett üvegházhatású gázkibocsátásának mérséklése a forrásnál, valamint a létesítmény ellenálló képességének (rezilienciájának) biztosítása a változó makroklimatikus tényezőkkel szemben.</w:t>
      </w:r>
    </w:p>
    <w:p w14:paraId="2F87E58A" w14:textId="23C9677A" w:rsidR="00C11872" w:rsidRDefault="00C11872" w:rsidP="00C11872">
      <w:pPr>
        <w:pStyle w:val="Cmsor2"/>
      </w:pPr>
      <w:bookmarkStart w:id="39" w:name="_Toc231161105"/>
      <w:r w:rsidRPr="00C11872">
        <w:t>Technológiai kibocsátás-csökkentési (mitigációs) megoldások a forrásnál</w:t>
      </w:r>
      <w:bookmarkEnd w:id="39"/>
    </w:p>
    <w:p w14:paraId="6D51269D" w14:textId="37935CB3" w:rsidR="00C11872" w:rsidRDefault="00C11872" w:rsidP="00D81F41">
      <w:r w:rsidRPr="00C11872">
        <w:t>A forrásoldali mitigációs stratégiák közvetlenül a telephelyi technológiai folyamatokba integrálva akadályozzák meg vagy szorítják minimális szintre a gáznemű emissziókat.</w:t>
      </w:r>
    </w:p>
    <w:p w14:paraId="7AD39AC9" w14:textId="11C14D4A" w:rsidR="00C11872" w:rsidRDefault="00C11872" w:rsidP="00C11872">
      <w:pPr>
        <w:pStyle w:val="Cmsor3"/>
      </w:pPr>
      <w:bookmarkStart w:id="40" w:name="_Toc231161106"/>
      <w:r w:rsidRPr="00C11872">
        <w:t>A hígtrágyatároló rugalmas ponyvafedésének és a vákuumrendszernek az emisszió-gátló hatása</w:t>
      </w:r>
      <w:bookmarkEnd w:id="40"/>
    </w:p>
    <w:p w14:paraId="3CABCDE4" w14:textId="77777777" w:rsidR="00CB36AA" w:rsidRPr="00CB36AA" w:rsidRDefault="00CB36AA" w:rsidP="00CB36AA">
      <w:r w:rsidRPr="00CB36AA">
        <w:t>A hígtrágya gyűjtése és tárolása során fellépő kibocsátások csökkentését mechanikai és szerkezeti megoldások kombinációja biztosítja:</w:t>
      </w:r>
    </w:p>
    <w:p w14:paraId="26067846" w14:textId="77777777" w:rsidR="00CB36AA" w:rsidRPr="00CB36AA" w:rsidRDefault="00CB36AA">
      <w:pPr>
        <w:numPr>
          <w:ilvl w:val="0"/>
          <w:numId w:val="25"/>
        </w:numPr>
      </w:pPr>
      <w:r w:rsidRPr="00CB36AA">
        <w:t>Az istállóépületeken belül a rácspadozat alatt kialakított szulfátálló vasbeton trágyalagúnákból a hígtrágya eltávolítása teljesen zárt, vákuumos, dugós és szelepes csőhálózaton keresztül gravitációsan történik.</w:t>
      </w:r>
    </w:p>
    <w:p w14:paraId="6140E41A" w14:textId="77777777" w:rsidR="00CB36AA" w:rsidRPr="00CB36AA" w:rsidRDefault="00CB36AA">
      <w:pPr>
        <w:numPr>
          <w:ilvl w:val="0"/>
          <w:numId w:val="25"/>
        </w:numPr>
      </w:pPr>
      <w:r w:rsidRPr="00CB36AA">
        <w:t>Ez a szakaszos, elárasztásos és üledékmentes leürítési módszer megakadályozza a trágyalé istállón belüli hosszas tárolását, ezáltal csökkenti a felületi párolgást és az anaerob bomlási fázisok kialakulását.</w:t>
      </w:r>
    </w:p>
    <w:p w14:paraId="117BAF03" w14:textId="77777777" w:rsidR="00CB36AA" w:rsidRPr="00CB36AA" w:rsidRDefault="00CB36AA">
      <w:pPr>
        <w:numPr>
          <w:ilvl w:val="0"/>
          <w:numId w:val="25"/>
        </w:numPr>
      </w:pPr>
      <w:r w:rsidRPr="00CB36AA">
        <w:t>A szomszédos 0242/2 hrsz. alatti, 1500 m³ kapacitású monolit vasbeton körműtárgy nyitott felszíne rugalmas ponyvafedéssel kerül lezárásra.</w:t>
      </w:r>
    </w:p>
    <w:p w14:paraId="50F5B957" w14:textId="52C87AA9" w:rsidR="00CB36AA" w:rsidRPr="00CB36AA" w:rsidRDefault="00CB36AA">
      <w:pPr>
        <w:numPr>
          <w:ilvl w:val="0"/>
          <w:numId w:val="25"/>
        </w:numPr>
      </w:pPr>
      <w:r w:rsidRPr="00CB36AA">
        <w:t>Ez a fizikai záróréteg gátolja a szerves anyagok bomlásából származó gázok (CH</w:t>
      </w:r>
      <w:r w:rsidRPr="00CB36AA">
        <w:rPr>
          <w:vertAlign w:val="subscript"/>
        </w:rPr>
        <w:t>4</w:t>
      </w:r>
      <w:r w:rsidRPr="00CB36AA">
        <w:t>, N</w:t>
      </w:r>
      <w:r w:rsidRPr="00CB36AA">
        <w:rPr>
          <w:vertAlign w:val="subscript"/>
        </w:rPr>
        <w:t>2</w:t>
      </w:r>
      <w:r w:rsidRPr="00CB36AA">
        <w:t>O) közvetlen légkörbe jutását, valamint megakadályozva a külső csapadékvíz bejutását a tározóba, elevétve kizárja a szállítandó hígtrágya volumenének felesleges növekedését.</w:t>
      </w:r>
    </w:p>
    <w:p w14:paraId="7DD421BB" w14:textId="77777777" w:rsidR="00CB36AA" w:rsidRPr="00CB36AA" w:rsidRDefault="00CB36AA">
      <w:pPr>
        <w:numPr>
          <w:ilvl w:val="0"/>
          <w:numId w:val="25"/>
        </w:numPr>
      </w:pPr>
      <w:r w:rsidRPr="00CB36AA">
        <w:t>A tározó homogenizálását végző 15 kW-os BAUER MSXH 15 típusú búvármotoros keverő üzemét SIEMENS LOGO! programozható vezérlőszekrény irányítja.</w:t>
      </w:r>
    </w:p>
    <w:p w14:paraId="4E1F0F0D" w14:textId="77777777" w:rsidR="00CB36AA" w:rsidRPr="00CB36AA" w:rsidRDefault="00CB36AA">
      <w:pPr>
        <w:numPr>
          <w:ilvl w:val="0"/>
          <w:numId w:val="25"/>
        </w:numPr>
      </w:pPr>
      <w:r w:rsidRPr="00CB36AA">
        <w:t>Az időköz-kapcsolású, szakaszos működtetés csökkenti a villamosenergia-felhasználást (közvetett Scope 2 megtakarítás) és korlátozza a keverési fázisok alatti intenzív gázkihajtást.</w:t>
      </w:r>
    </w:p>
    <w:p w14:paraId="6BB19199" w14:textId="65C6ED75" w:rsidR="00C11872" w:rsidRDefault="00CB36AA" w:rsidP="00CB36AA">
      <w:pPr>
        <w:pStyle w:val="Cmsor3"/>
      </w:pPr>
      <w:bookmarkStart w:id="41" w:name="_Toc231161107"/>
      <w:r w:rsidRPr="00CB36AA">
        <w:t>Az alacsony nyersfehérje-tartalom és a fázisos takarmányozás szerepe</w:t>
      </w:r>
      <w:bookmarkEnd w:id="41"/>
    </w:p>
    <w:p w14:paraId="19FED93A" w14:textId="77777777" w:rsidR="00CB36AA" w:rsidRPr="00CB36AA" w:rsidRDefault="00CB36AA" w:rsidP="00CB36AA">
      <w:r w:rsidRPr="00CB36AA">
        <w:t>Az állatok takarmányozási hatékonyságának növelése közvetlen hatással van a keletkező hígtrágya minőségére és emissziós potenciáljára:</w:t>
      </w:r>
    </w:p>
    <w:p w14:paraId="60E0495B" w14:textId="77777777" w:rsidR="00CB36AA" w:rsidRPr="00CB36AA" w:rsidRDefault="00CB36AA">
      <w:pPr>
        <w:numPr>
          <w:ilvl w:val="0"/>
          <w:numId w:val="26"/>
        </w:numPr>
      </w:pPr>
      <w:r w:rsidRPr="00CB36AA">
        <w:t>A telepen alkalmazott Big Dutchman automata szárazetetési technológia lehetővé teszi a sertések életkorának és tömegének megfelelő, pontosan adagolt takarmánykeverékek fázisos kijuttatását.</w:t>
      </w:r>
    </w:p>
    <w:p w14:paraId="176B063F" w14:textId="77777777" w:rsidR="00CB36AA" w:rsidRPr="00CB36AA" w:rsidRDefault="00CB36AA">
      <w:pPr>
        <w:numPr>
          <w:ilvl w:val="0"/>
          <w:numId w:val="26"/>
        </w:numPr>
      </w:pPr>
      <w:r w:rsidRPr="00CB36AA">
        <w:lastRenderedPageBreak/>
        <w:t>Az alacsony nyersfehérje-tartalmú takarmányok alkalmazása aminosav-kiegészítéssel közvetlenül csökkenti az állatok által ürített nitrogén mennyiségét.</w:t>
      </w:r>
    </w:p>
    <w:p w14:paraId="7FDB5EB9" w14:textId="5CFB3802" w:rsidR="00CB36AA" w:rsidRPr="00CB36AA" w:rsidRDefault="00CB36AA">
      <w:pPr>
        <w:numPr>
          <w:ilvl w:val="0"/>
          <w:numId w:val="26"/>
        </w:numPr>
      </w:pPr>
      <w:r w:rsidRPr="00CB36AA">
        <w:t>Ez a forrásoldali fehérje-optimalizálás radikálisan mérsékli a hígtrágyában a dinitrogén-monoxid (N</w:t>
      </w:r>
      <w:r w:rsidRPr="00BF7518">
        <w:rPr>
          <w:vertAlign w:val="subscript"/>
        </w:rPr>
        <w:t>2</w:t>
      </w:r>
      <w:r w:rsidRPr="00CB36AA">
        <w:t>O) prekurzorának számító illékony nitrogénvegyületek kialakulását.</w:t>
      </w:r>
    </w:p>
    <w:p w14:paraId="1E65AACE" w14:textId="25E9C19C" w:rsidR="00C11872" w:rsidRDefault="00BF7518" w:rsidP="00BF7518">
      <w:pPr>
        <w:pStyle w:val="Cmsor3"/>
      </w:pPr>
      <w:bookmarkStart w:id="42" w:name="_Toc231161108"/>
      <w:r w:rsidRPr="00BF7518">
        <w:t>A BioAmp 300 / FreeFlow mikrobiológiai kezelés üvegházhatású gázcsökkentő hatásmechanizmusa</w:t>
      </w:r>
      <w:bookmarkEnd w:id="42"/>
    </w:p>
    <w:p w14:paraId="3D6B6BB4" w14:textId="77777777" w:rsidR="00BF7518" w:rsidRPr="00BF7518" w:rsidRDefault="00BF7518" w:rsidP="00BF7518">
      <w:r w:rsidRPr="00BF7518">
        <w:t>A hígtrágya biogén bomlási folyamatainak ellenőrzése és átalakítása mikrobiológiai úton történik:</w:t>
      </w:r>
    </w:p>
    <w:p w14:paraId="5D0FA4BE" w14:textId="77777777" w:rsidR="00BF7518" w:rsidRPr="00BF7518" w:rsidRDefault="00BF7518">
      <w:pPr>
        <w:numPr>
          <w:ilvl w:val="0"/>
          <w:numId w:val="27"/>
        </w:numPr>
      </w:pPr>
      <w:r w:rsidRPr="00BF7518">
        <w:t>A Kft. kombinált módon, az állattartó épületek belső trágyacsatornáiban és a külső hígtrágyatároló műtárgyban egyaránt alkalmazza az NCH BioAmp 300 típusú, teljesen automatizált, helyszíni mikrobiológiai biogenerátor berendezést.</w:t>
      </w:r>
    </w:p>
    <w:p w14:paraId="3C2FEA62" w14:textId="77777777" w:rsidR="00BF7518" w:rsidRPr="00BF7518" w:rsidRDefault="00BF7518">
      <w:pPr>
        <w:numPr>
          <w:ilvl w:val="0"/>
          <w:numId w:val="27"/>
        </w:numPr>
      </w:pPr>
      <w:r w:rsidRPr="00BF7518">
        <w:t xml:space="preserve">A berendezés napi ciklusokban FreeFlow™ tabletták felhasználásával nagy spórasűrűségű, a természetben is megtalálható, nem patogén és nem genetikailag módosított </w:t>
      </w:r>
      <w:r w:rsidRPr="00BF7518">
        <w:rPr>
          <w:i/>
          <w:iCs/>
        </w:rPr>
        <w:t>Bacillus</w:t>
      </w:r>
      <w:r w:rsidRPr="00BF7518">
        <w:t xml:space="preserve"> baktériumtörzseket szaporít fel és adagol be élő folyadékként a hígtrágya-hálózatba.</w:t>
      </w:r>
    </w:p>
    <w:p w14:paraId="153F97E2" w14:textId="77777777" w:rsidR="00BF7518" w:rsidRPr="00BF7518" w:rsidRDefault="00BF7518">
      <w:pPr>
        <w:numPr>
          <w:ilvl w:val="0"/>
          <w:numId w:val="27"/>
        </w:numPr>
      </w:pPr>
      <w:r w:rsidRPr="00BF7518">
        <w:t>A FreeFlow™ baktériumok kompetitív kizárásos (kiszorításos) elv alapján gyorsabban kolonizálják a hígtrágyát, és elvonják a tápanyagokat a bűzért és gázképződésért felelős vad anaerob baktériumok elől, nagymértékben gátolva azok uretáz-aktivitását.</w:t>
      </w:r>
    </w:p>
    <w:p w14:paraId="43B26A41" w14:textId="77777777" w:rsidR="00BF7518" w:rsidRPr="00BF7518" w:rsidRDefault="00BF7518">
      <w:pPr>
        <w:numPr>
          <w:ilvl w:val="0"/>
          <w:numId w:val="27"/>
        </w:numPr>
      </w:pPr>
      <w:r w:rsidRPr="00BF7518">
        <w:t>A törzsek intenzív emésztéssel lebontják a hígtrágya felszínén képződő zsíros, rostos szilárd fázist, a hígtrágya-kérget (krustát), így a trágya homogénen folyékonnyá válik.</w:t>
      </w:r>
    </w:p>
    <w:p w14:paraId="2EA31F73" w14:textId="67EDDB2B" w:rsidR="00BF7518" w:rsidRPr="00BF7518" w:rsidRDefault="00BF7518">
      <w:pPr>
        <w:numPr>
          <w:ilvl w:val="0"/>
          <w:numId w:val="27"/>
        </w:numPr>
      </w:pPr>
      <w:r w:rsidRPr="00BF7518">
        <w:t>A krusta megszűnésével és a mikrobiológiai stabilizációval a folyadékfázisban lévő nitrogén ammónium-ion (NH</w:t>
      </w:r>
      <w:r w:rsidRPr="00BF7518">
        <w:rPr>
          <w:vertAlign w:val="subscript"/>
        </w:rPr>
        <w:t>4</w:t>
      </w:r>
      <w:r w:rsidRPr="00BF7518">
        <w:rPr>
          <w:vertAlign w:val="superscript"/>
        </w:rPr>
        <w:t>+</w:t>
      </w:r>
      <w:r w:rsidRPr="00BF7518">
        <w:t>) formájában kötődik meg ahelyett, hogy illékony gázfázisú ammóniaként vagy dinitrogén-monoxidként távozna az atmoszférába.</w:t>
      </w:r>
    </w:p>
    <w:p w14:paraId="42FA3E77" w14:textId="77777777" w:rsidR="00BF7518" w:rsidRPr="00BF7518" w:rsidRDefault="00BF7518">
      <w:pPr>
        <w:numPr>
          <w:ilvl w:val="0"/>
          <w:numId w:val="27"/>
        </w:numPr>
      </w:pPr>
      <w:r w:rsidRPr="00BF7518">
        <w:t>A felhasznált baktériumtechnológia NSF nemzetközi tanúsítvánnyal rendelkezik, igazolva annak teljes körű környezetbiztonsági megfelelőségét.</w:t>
      </w:r>
    </w:p>
    <w:p w14:paraId="47905667" w14:textId="3B28CDBC" w:rsidR="00C11872" w:rsidRDefault="00EF6246" w:rsidP="00EF6246">
      <w:pPr>
        <w:pStyle w:val="Cmsor3"/>
      </w:pPr>
      <w:bookmarkStart w:id="43" w:name="_Toc231161109"/>
      <w:r w:rsidRPr="00EF6246">
        <w:t>A hígtrágya saját gépparkkal történő szántóföldi kijuttatása közvetlen talajba injektálással</w:t>
      </w:r>
      <w:r>
        <w:t>,</w:t>
      </w:r>
      <w:r w:rsidRPr="00EF6246">
        <w:t xml:space="preserve"> mint technológiai mitigáció</w:t>
      </w:r>
      <w:bookmarkEnd w:id="43"/>
    </w:p>
    <w:p w14:paraId="09808E85" w14:textId="77777777" w:rsidR="00EF6246" w:rsidRPr="00EF6246" w:rsidRDefault="00EF6246" w:rsidP="00EF6246">
      <w:r w:rsidRPr="00EF6246">
        <w:t>A tápanyag-visszapótlás és a szántóföldi elhelyezés során alkalmazott gépészeti konfiguráció alapvető éghajlatvédelmi funkciót lát el:</w:t>
      </w:r>
    </w:p>
    <w:p w14:paraId="23E82909" w14:textId="77777777" w:rsidR="00EF6246" w:rsidRPr="00EF6246" w:rsidRDefault="00EF6246">
      <w:pPr>
        <w:numPr>
          <w:ilvl w:val="0"/>
          <w:numId w:val="28"/>
        </w:numPr>
      </w:pPr>
      <w:r w:rsidRPr="00EF6246">
        <w:t>A telepen keletkező hígtrágya kiszállítását és a környező mezőgazdasági területekre történő kijuttatását a Kft. saját maga, saját tulajdonú gépi kapacitással és személyzettel végzi, külső alvállalkozó bevonása nélkül.</w:t>
      </w:r>
    </w:p>
    <w:p w14:paraId="1C7AF1E6" w14:textId="77777777" w:rsidR="00EF6246" w:rsidRPr="00EF6246" w:rsidRDefault="00EF6246">
      <w:pPr>
        <w:numPr>
          <w:ilvl w:val="0"/>
          <w:numId w:val="28"/>
        </w:numPr>
      </w:pPr>
      <w:r w:rsidRPr="00EF6246">
        <w:t>A kiszállításhoz és kijuttatáshoz a Kft. Fliegl VFW 25000 Individual Tridem és Fliegl HFW 25000 Individual Tridem típusú, nagy kapacitású, zárt rendszerű hígtrágyaszállító tartálykocsikat alkalmaz.</w:t>
      </w:r>
    </w:p>
    <w:p w14:paraId="339EBDCD" w14:textId="77777777" w:rsidR="00EF6246" w:rsidRPr="00EF6246" w:rsidRDefault="00EF6246">
      <w:pPr>
        <w:numPr>
          <w:ilvl w:val="0"/>
          <w:numId w:val="28"/>
        </w:numPr>
      </w:pPr>
      <w:r w:rsidRPr="00EF6246">
        <w:t>A légköri ÜHG- és ammónia-emisszió radikális minimalizálása érdekében a tartálykocsik fel vannak szerelve modern közvetlen talajba juttató (injektáló/befecskendező) egységekkel, úgy mint a Fliegl Maulwulf tárcsás injektor, a Fliegl SSG ejektoros hígtrágya-befecskendező, vagy a Fliegl GUG szántóföldi nehézkultivátoros injektáló berendezés.</w:t>
      </w:r>
    </w:p>
    <w:p w14:paraId="6BE4329E" w14:textId="77777777" w:rsidR="00EF6246" w:rsidRPr="00EF6246" w:rsidRDefault="00EF6246">
      <w:pPr>
        <w:numPr>
          <w:ilvl w:val="0"/>
          <w:numId w:val="28"/>
        </w:numPr>
      </w:pPr>
      <w:r w:rsidRPr="00EF6246">
        <w:t>A technológia alkalmazásával a hígtrágya nem a talajfelszínre permetezve kerül kiszórásra, hanem zárt módon, injectoros eljárással közvetlenül a termőföld felszíne alá (5–10 cm mélységbe), a gyökérzónába kerül bejuttatásra.</w:t>
      </w:r>
    </w:p>
    <w:p w14:paraId="2C76CCBD" w14:textId="77777777" w:rsidR="00EF6246" w:rsidRPr="00EF6246" w:rsidRDefault="00EF6246">
      <w:pPr>
        <w:numPr>
          <w:ilvl w:val="0"/>
          <w:numId w:val="28"/>
        </w:numPr>
      </w:pPr>
      <w:r w:rsidRPr="00EF6246">
        <w:lastRenderedPageBreak/>
        <w:t>Ez a zárt láncú kijuttatási eljárás szinte teljes mértékben meggátolja az illékony vegyületek és gázok atmoszférába jutását, valamint kiküszöböli az erős napsugárzás és hőség miatti felületi párolgási veszteségeket.</w:t>
      </w:r>
    </w:p>
    <w:p w14:paraId="64993384" w14:textId="77777777" w:rsidR="00EF6246" w:rsidRPr="00EF6246" w:rsidRDefault="00EF6246">
      <w:pPr>
        <w:numPr>
          <w:ilvl w:val="0"/>
          <w:numId w:val="28"/>
        </w:numPr>
      </w:pPr>
      <w:r w:rsidRPr="00EF6246">
        <w:t>A hígtrágya ellenőrzött mezőgazdasági elhelyezése az Engedélyes Tiszaderzs külterületén elhelyezkedő saját termőföldjein, valamint a környező gazdákkal fennálló, Tiszaszőlős és Tiszaderzs külterületeire vonatkozó együttműködési megállapodások alapján valósul meg az éves kijuttatási tervek szerint.</w:t>
      </w:r>
    </w:p>
    <w:p w14:paraId="13A56264" w14:textId="5EF49E85" w:rsidR="00C11872" w:rsidRDefault="00EF6246" w:rsidP="00EF6246">
      <w:pPr>
        <w:pStyle w:val="Cmsor3"/>
      </w:pPr>
      <w:bookmarkStart w:id="44" w:name="_Toc231161110"/>
      <w:r w:rsidRPr="00EF6246">
        <w:t>A Bentley 1000 AIS 064 Cyclone tetemégető technológia logisztikai (Scope 3) ÜHG-megtakarítást biztosító szerepe</w:t>
      </w:r>
      <w:bookmarkEnd w:id="44"/>
    </w:p>
    <w:p w14:paraId="0BD3948B" w14:textId="77777777" w:rsidR="00EF6246" w:rsidRPr="00EF6246" w:rsidRDefault="00EF6246" w:rsidP="00EF6246">
      <w:r w:rsidRPr="00EF6246">
        <w:t>A Bentley 1000 AIS 064 Cyclone típusú állati hulladékégető berendezés helyszíni üzemeltetése jelentős regionális kibocsátás-csökkentést eredményez:</w:t>
      </w:r>
    </w:p>
    <w:p w14:paraId="4EF6521E" w14:textId="77777777" w:rsidR="00EF6246" w:rsidRPr="00EF6246" w:rsidRDefault="00EF6246">
      <w:pPr>
        <w:numPr>
          <w:ilvl w:val="0"/>
          <w:numId w:val="29"/>
        </w:numPr>
      </w:pPr>
      <w:r w:rsidRPr="00EF6246">
        <w:t>A telepen elhullott állati tetemek (éves szinten tervezett 46 800 kg melléktermék) helyszíni ártalmatlanítása teljes mértékben szükségtelenné teszi a tetemek nehézgépjárművel történő elszállítását a távoli, központi feldolgozó üzembe.</w:t>
      </w:r>
    </w:p>
    <w:p w14:paraId="5AB91686" w14:textId="77777777" w:rsidR="00EF6246" w:rsidRPr="00EF6246" w:rsidRDefault="00EF6246">
      <w:pPr>
        <w:numPr>
          <w:ilvl w:val="0"/>
          <w:numId w:val="29"/>
        </w:numPr>
      </w:pPr>
      <w:r w:rsidRPr="00EF6246">
        <w:t>Ezzel regionális szinten jelentős mennyiségű, harmadik félhez köthető logisztikai (szállítási, közvetett Scope 3 kategóriájú) fosszilis szén-dioxid-kibocsátást vált ki a projekt.</w:t>
      </w:r>
    </w:p>
    <w:p w14:paraId="09A1F36A" w14:textId="77777777" w:rsidR="00EF6246" w:rsidRPr="00EF6246" w:rsidRDefault="00EF6246">
      <w:pPr>
        <w:numPr>
          <w:ilvl w:val="0"/>
          <w:numId w:val="29"/>
        </w:numPr>
      </w:pPr>
      <w:r w:rsidRPr="00EF6246">
        <w:t>A berendezés belső fala magas sűrűségű, monolit tűzálló betonbéléssel és többrétegű hőszigeteléssel rendelkezik, ami radikálisan csökkenti a falakon keresztüli transzmissziós hőveszteséget és lerövidíti az indítási felfűtés időtartamát.</w:t>
      </w:r>
    </w:p>
    <w:p w14:paraId="2503F018" w14:textId="77777777" w:rsidR="00EF6246" w:rsidRPr="00EF6246" w:rsidRDefault="00EF6246">
      <w:pPr>
        <w:numPr>
          <w:ilvl w:val="0"/>
          <w:numId w:val="29"/>
        </w:numPr>
      </w:pPr>
      <w:r w:rsidRPr="00EF6246">
        <w:t>A mikroprocesszoros vezérlés a főégetési fázisban maximalizálja a tetemek saját zsírtartalmának fűtőértékét (autogén égés), és a gázolajégők teljesítményét a minimálisan szükséges szintre szabályozza vissza, ami közvetlen üzemanyag-megtakarítást és magas energiahatékonyságot biztosít.</w:t>
      </w:r>
    </w:p>
    <w:p w14:paraId="67A5CD36" w14:textId="53D76833" w:rsidR="00C11872" w:rsidRDefault="00E65C7A" w:rsidP="00E65C7A">
      <w:pPr>
        <w:pStyle w:val="Cmsor3"/>
      </w:pPr>
      <w:bookmarkStart w:id="45" w:name="_Toc231161111"/>
      <w:r w:rsidRPr="00E65C7A">
        <w:t>Közvetett (Scope 2) emisszió-kiváltás napelemes (PV) rendszerrel</w:t>
      </w:r>
      <w:bookmarkEnd w:id="45"/>
    </w:p>
    <w:p w14:paraId="342FA441" w14:textId="77777777" w:rsidR="00E65C7A" w:rsidRPr="00E65C7A" w:rsidRDefault="00E65C7A" w:rsidP="00E65C7A">
      <w:r w:rsidRPr="00E65C7A">
        <w:t>Az energetikai mitigáció fontos pillére a telephely elektromos bázisú működéséből fakadó közvetett kibocsátások semlegesítése:</w:t>
      </w:r>
    </w:p>
    <w:p w14:paraId="22BD10B4" w14:textId="77777777" w:rsidR="00E65C7A" w:rsidRPr="00E65C7A" w:rsidRDefault="00E65C7A">
      <w:pPr>
        <w:numPr>
          <w:ilvl w:val="0"/>
          <w:numId w:val="30"/>
        </w:numPr>
      </w:pPr>
      <w:r w:rsidRPr="00E65C7A">
        <w:t>Az istállóépületek és a szociális blokk jelentős méretű tetőfelületeit kihasználva a beruházás keretében napelemes (PV) rendszer kiépítése tervezett.</w:t>
      </w:r>
    </w:p>
    <w:p w14:paraId="4A36A0FB" w14:textId="77777777" w:rsidR="00E65C7A" w:rsidRPr="00E65C7A" w:rsidRDefault="00E65C7A">
      <w:pPr>
        <w:numPr>
          <w:ilvl w:val="0"/>
          <w:numId w:val="30"/>
        </w:numPr>
      </w:pPr>
      <w:r w:rsidRPr="00E65C7A">
        <w:t>Mivel a telep folyamatos alapüzeme (a kényszerszellőztető Big Dutchman ventilátorok, az automata etetés, itatás és a Hidrofilt vízkezelés) tisztán villamos energiára épül, a helyszínen termelt zöldáram közvetlenül váltja ki a hálózati villamos energiát. Ezáltal csökken a vásárolt villamos energiához köthető közvetett ÜHG-emisszió.</w:t>
      </w:r>
    </w:p>
    <w:p w14:paraId="087BEA82" w14:textId="1AC88CE1" w:rsidR="00620D3E" w:rsidRDefault="00620D3E" w:rsidP="00620D3E">
      <w:pPr>
        <w:pStyle w:val="Cmsor2"/>
      </w:pPr>
      <w:bookmarkStart w:id="46" w:name="_Toc231161112"/>
      <w:r w:rsidRPr="00620D3E">
        <w:t>Mikroklíma-szintű alkalmazkodási (adaptációs) intézkedések</w:t>
      </w:r>
      <w:bookmarkEnd w:id="46"/>
    </w:p>
    <w:p w14:paraId="6A4B68F6" w14:textId="14407958" w:rsidR="00620D3E" w:rsidRDefault="00620D3E" w:rsidP="00620D3E">
      <w:pPr>
        <w:pStyle w:val="NormlWeb"/>
        <w:jc w:val="both"/>
      </w:pPr>
      <w:r>
        <w:t>Jelen alfejezet azokat a műszaki és technológiai megoldásokat mutatja be, amelyek biztosítják a tiszaszőlősi sertéstelep hosszú távú ellenálló képességét (rezilienciáját) a klímaváltozásból adódó lokális hatásokkal – különösen a növekvő nyári középhőmérséklettel, a tartós hőhullámokkal és a melegedő éghajlat miatt fokozódó járványügyi kockázatokkal – szemben.</w:t>
      </w:r>
    </w:p>
    <w:p w14:paraId="4D87B3D3" w14:textId="4F7BF306" w:rsidR="00C11872" w:rsidRDefault="00620D3E" w:rsidP="00620D3E">
      <w:pPr>
        <w:pStyle w:val="Cmsor3"/>
      </w:pPr>
      <w:bookmarkStart w:id="47" w:name="_Toc231161113"/>
      <w:r w:rsidRPr="00620D3E">
        <w:lastRenderedPageBreak/>
        <w:t>Istállóépületek zárt, PIR töltetű szendvicspaneles hőszigetelése</w:t>
      </w:r>
      <w:bookmarkEnd w:id="47"/>
    </w:p>
    <w:p w14:paraId="66E91B4D" w14:textId="77777777" w:rsidR="00620D3E" w:rsidRPr="00620D3E" w:rsidRDefault="00620D3E" w:rsidP="00620D3E">
      <w:r w:rsidRPr="00620D3E">
        <w:t>A régióban tapasztalható nyári hőségnapok számának növekedése és az intenzív napsugárzás közvetlen technológiai és állatjóléti kockázatot jelent a zárt tartású hízóállományra nézve.</w:t>
      </w:r>
    </w:p>
    <w:p w14:paraId="17C950A3" w14:textId="77777777" w:rsidR="00620D3E" w:rsidRPr="00620D3E" w:rsidRDefault="00620D3E">
      <w:pPr>
        <w:numPr>
          <w:ilvl w:val="0"/>
          <w:numId w:val="31"/>
        </w:numPr>
      </w:pPr>
      <w:r w:rsidRPr="00620D3E">
        <w:rPr>
          <w:b/>
          <w:bCs/>
        </w:rPr>
        <w:t>Szerkezeti hővédelem:</w:t>
      </w:r>
      <w:r w:rsidRPr="00620D3E">
        <w:t xml:space="preserve"> Az istállóépületek oldalfalai és tetőszerkezete nagy hatékonyságú, zártcellás poliuretán (PIR) maggal rendelkező szendvicspanelekből valósulnak meg.</w:t>
      </w:r>
    </w:p>
    <w:p w14:paraId="212733C4" w14:textId="77777777" w:rsidR="00620D3E" w:rsidRPr="00620D3E" w:rsidRDefault="00620D3E">
      <w:pPr>
        <w:numPr>
          <w:ilvl w:val="0"/>
          <w:numId w:val="31"/>
        </w:numPr>
      </w:pPr>
      <w:r w:rsidRPr="00620D3E">
        <w:rPr>
          <w:b/>
          <w:bCs/>
        </w:rPr>
        <w:t>Klimatikus pufferhatás:</w:t>
      </w:r>
      <w:r w:rsidRPr="00620D3E">
        <w:t xml:space="preserve"> Ez a modern épületszerkezeti kialakítás kiváló hőátbocsátási tényezővel rendelkezik, ami nyáron minimalizálja a külső sugárzási hőterhelést a belső terek irányába, télen pedig bent tartja a biogén hőt. Ezáltal az épület belső mikroklímája kevésbé függ a külső szélsőséges hőmérsékleti ingadozásoktól, csökkentve a kiegészítő klimatizálás energiaigényét.</w:t>
      </w:r>
    </w:p>
    <w:p w14:paraId="1BC76B69" w14:textId="77777777" w:rsidR="0025412C" w:rsidRPr="0025412C" w:rsidRDefault="0025412C" w:rsidP="0025412C">
      <w:pPr>
        <w:pStyle w:val="Cmsor3"/>
      </w:pPr>
      <w:bookmarkStart w:id="48" w:name="_Toc231161114"/>
      <w:r w:rsidRPr="0025412C">
        <w:t>Automatizált evaporatív hűtési rendszerek (Cool-pad) üzemeltetése a hőstressz ellen</w:t>
      </w:r>
      <w:bookmarkEnd w:id="48"/>
    </w:p>
    <w:p w14:paraId="4C706B9E" w14:textId="77777777" w:rsidR="0025412C" w:rsidRPr="0025412C" w:rsidRDefault="0025412C" w:rsidP="0025412C">
      <w:r w:rsidRPr="0025412C">
        <w:t>A sertések nem rendelkeznek hatékony saját izzadási mechanizmussal, így a tartósan 25 °C feletti belső hőmérséklet súlyos hőstresszhez, a takarmányhasznosítás romlásához, extrém esetben pedig havária-jellegű fulladásos elhulláshoz vezethet.</w:t>
      </w:r>
    </w:p>
    <w:p w14:paraId="0FDD6963" w14:textId="77777777" w:rsidR="0025412C" w:rsidRPr="0025412C" w:rsidRDefault="0025412C">
      <w:pPr>
        <w:numPr>
          <w:ilvl w:val="0"/>
          <w:numId w:val="32"/>
        </w:numPr>
      </w:pPr>
      <w:r w:rsidRPr="0025412C">
        <w:rPr>
          <w:b/>
          <w:bCs/>
        </w:rPr>
        <w:t>Működési elv:</w:t>
      </w:r>
      <w:r w:rsidRPr="0025412C">
        <w:t xml:space="preserve"> A Big Dutchman tartástechnológia részeként az istállók frisslevegő-beáramlási pontjain nedvesített béléstestsorokból álló evaporatív hűtőpanelek (Cool-pad / RainMaker szivattyús rendszerek) kerülnek kiépítésre. A kényszerszellőztető ventilátorok által beszívott meleg külső levegő átáramlik ezeken a nedves paneleken, és a víz párolgásának fizikai hűtőhatását (rejtett hőelvonást) kihasználva jelentősen lecsökken a hőmérséklete, mielőtt a nevelőterekbe lépne.</w:t>
      </w:r>
    </w:p>
    <w:p w14:paraId="3C20BE67" w14:textId="77777777" w:rsidR="0025412C" w:rsidRPr="0025412C" w:rsidRDefault="0025412C">
      <w:pPr>
        <w:numPr>
          <w:ilvl w:val="0"/>
          <w:numId w:val="32"/>
        </w:numPr>
      </w:pPr>
      <w:r w:rsidRPr="0025412C">
        <w:rPr>
          <w:b/>
          <w:bCs/>
        </w:rPr>
        <w:t>Automatizált klímaszabályozás:</w:t>
      </w:r>
      <w:r w:rsidRPr="0025412C">
        <w:t xml:space="preserve"> A hűtési ciklusokat a központi klímaszámítógép vezérli a belső páratartalom és hőmérséklet függvényében, biztosítva, hogy a belső légállapot a kritikus nyári napokon is folyamatosan az optimális állatjóléti zónában maradjon. Ez a technológia garantálja a termelés biztonságát az aszályos, forró nyári időszakokban is.</w:t>
      </w:r>
    </w:p>
    <w:p w14:paraId="1905E6AE" w14:textId="62659498" w:rsidR="00EC0CF1" w:rsidRDefault="0025412C" w:rsidP="0025412C">
      <w:pPr>
        <w:pStyle w:val="Cmsor3"/>
      </w:pPr>
      <w:bookmarkStart w:id="49" w:name="_Toc231161115"/>
      <w:r w:rsidRPr="0025412C">
        <w:t>A Bentley égetőmű biológiai biztonsági és járványvédelmi adaptációs funkciója</w:t>
      </w:r>
      <w:bookmarkEnd w:id="49"/>
    </w:p>
    <w:p w14:paraId="4631F380" w14:textId="77777777" w:rsidR="0025412C" w:rsidRPr="0025412C" w:rsidRDefault="0025412C" w:rsidP="0025412C">
      <w:r w:rsidRPr="0025412C">
        <w:t>A globális felmelegedés, a növekvő nyári átlaghőmérséklet és az enyhe telek közvetlenül támogatják a különböző biológiai vektorok (rovarok, rágcsálók, madarak) túlélését, ami felgyorsítja a fertőző állatbetegségek – különösen az Afrikai Sertéspestis (ASP) – terjedési kockázatát a hazai állattenyésztési szektorban.</w:t>
      </w:r>
    </w:p>
    <w:p w14:paraId="055758A2" w14:textId="77777777" w:rsidR="0025412C" w:rsidRPr="0025412C" w:rsidRDefault="0025412C">
      <w:pPr>
        <w:numPr>
          <w:ilvl w:val="0"/>
          <w:numId w:val="33"/>
        </w:numPr>
      </w:pPr>
      <w:r w:rsidRPr="0025412C">
        <w:rPr>
          <w:b/>
          <w:bCs/>
        </w:rPr>
        <w:t>Azonnali helyszíni izoláció:</w:t>
      </w:r>
      <w:r w:rsidRPr="0025412C">
        <w:t xml:space="preserve"> A telephely belső járványvédelmi kerítésvonalába integrált Bentley 1000 AIS 064 Cyclone típusú tetemégető berendezés lehetővé teszi a természetes mortalitásból származó hulladékok azonnali, helyszíni megsemmisítését.</w:t>
      </w:r>
    </w:p>
    <w:p w14:paraId="02EFFE3F" w14:textId="77777777" w:rsidR="0025412C" w:rsidRPr="0025412C" w:rsidRDefault="0025412C">
      <w:pPr>
        <w:numPr>
          <w:ilvl w:val="0"/>
          <w:numId w:val="33"/>
        </w:numPr>
      </w:pPr>
      <w:r w:rsidRPr="0025412C">
        <w:rPr>
          <w:b/>
          <w:bCs/>
        </w:rPr>
        <w:t>Kockázatmentesítés:</w:t>
      </w:r>
      <w:r w:rsidRPr="0025412C">
        <w:t xml:space="preserve"> Ezzel a megoldással a fertőzésgyanús vagy elhullott biológiai anyagok nem hagyják el a telephely zónáját, így teljesen kiküszöbölhető az a komoly klímaeredetű kockázat, hogy a tetemek közúti szállítása során a fertőzés továbbterjedjen a környező tiszamenti régió állatállományaira. A kétkamrás, magas hőmérsékletű (utóégetős) megsemmisítés a legmagasabb szintű biológiai biztonsági adaptációt nyújtja a melegedő éghajlati környezetben.</w:t>
      </w:r>
    </w:p>
    <w:p w14:paraId="52D1AB2F" w14:textId="10BCDDAD" w:rsidR="00D81F41" w:rsidRDefault="008A18CF" w:rsidP="008A18CF">
      <w:pPr>
        <w:pStyle w:val="Cmsor1"/>
      </w:pPr>
      <w:bookmarkStart w:id="50" w:name="_Toc231161116"/>
      <w:r w:rsidRPr="008A18CF">
        <w:lastRenderedPageBreak/>
        <w:t>A növényzet általi ÜHG-megkötés és elnyelés mérlege</w:t>
      </w:r>
      <w:bookmarkEnd w:id="50"/>
    </w:p>
    <w:p w14:paraId="5963A360" w14:textId="447B02F6" w:rsidR="00620D3E" w:rsidRDefault="008A18CF" w:rsidP="00D81F41">
      <w:r w:rsidRPr="008A18CF">
        <w:t>A kormányrendelet előírásainak megfelelően a beruházás éghajlatvédelmi hatásvizsgálatának kötelező eleme a telephelyen lévő és a tervezett növényzet szén-dioxid-megkötő és -elnyelő kapacitásának számszerűsített bemutatása. Ez a fejezet mérleget von a létesítés előtti (kiindulási) állapot elnyelő kapacitása, valamint a tervezett zöldfelület-fejlesztés hosszú távú pozitív éghajlati hatásai között, módszertanilag követve a nemzetközileg elfogadott LULUCF (</w:t>
      </w:r>
      <w:r w:rsidRPr="008A18CF">
        <w:rPr>
          <w:i/>
          <w:iCs/>
        </w:rPr>
        <w:t>Land Use, Land-Use Change and Forestry</w:t>
      </w:r>
      <w:r w:rsidRPr="008A18CF">
        <w:t>) irányelveket.</w:t>
      </w:r>
    </w:p>
    <w:p w14:paraId="5BD19647" w14:textId="435391F3" w:rsidR="00620D3E" w:rsidRDefault="008A18CF" w:rsidP="008A18CF">
      <w:pPr>
        <w:pStyle w:val="Cmsor2"/>
      </w:pPr>
      <w:bookmarkStart w:id="51" w:name="_Toc231161117"/>
      <w:r w:rsidRPr="008A18CF">
        <w:t>A barnamezős beruházás kiindulási állapotának értékelése (elnyelés-kiesés vizsgálata)</w:t>
      </w:r>
      <w:bookmarkEnd w:id="51"/>
    </w:p>
    <w:p w14:paraId="1FDD9AB6" w14:textId="77777777" w:rsidR="008A18CF" w:rsidRPr="008A18CF" w:rsidRDefault="008A18CF" w:rsidP="008A18CF">
      <w:r w:rsidRPr="008A18CF">
        <w:t>A szén-dioxid-elnyelés mérlegének felállításához első lépésként meg kell határozni a projekt megvalósulási helyszínéül szolgáló ingatlanok (Tiszaszőlős 0244. és 0242/2 hrsz.) beruházás előtti, kiindulási biológiai állapotát és annak elnyelő kapacitását.</w:t>
      </w:r>
    </w:p>
    <w:p w14:paraId="1385049F" w14:textId="77777777" w:rsidR="008A18CF" w:rsidRPr="008A18CF" w:rsidRDefault="008A18CF">
      <w:pPr>
        <w:numPr>
          <w:ilvl w:val="0"/>
          <w:numId w:val="34"/>
        </w:numPr>
      </w:pPr>
      <w:r w:rsidRPr="008A18CF">
        <w:rPr>
          <w:b/>
          <w:bCs/>
        </w:rPr>
        <w:t>A terület barnamezős jellege:</w:t>
      </w:r>
      <w:r w:rsidRPr="008A18CF">
        <w:t xml:space="preserve"> A beruházás egy korábbi, felhagyott állattartó telep maradványain, kifejezetten </w:t>
      </w:r>
      <w:r w:rsidRPr="008A18CF">
        <w:rPr>
          <w:b/>
          <w:bCs/>
        </w:rPr>
        <w:t>barnamezős beruházásként</w:t>
      </w:r>
      <w:r w:rsidRPr="008A18CF">
        <w:t xml:space="preserve"> valósul meg. Ez a környezetvédelmi tervezési szempontból rendkívül előnyös lokáció azt jelenti, hogy a fejlesztés nem érint természetközeli ökoszisztémákat, őshonos erdőterületeket vagy magas szénmegkötő képességű állandó gyepeket.</w:t>
      </w:r>
    </w:p>
    <w:p w14:paraId="6966E6B2" w14:textId="4CC17AE0" w:rsidR="008A18CF" w:rsidRPr="008A18CF" w:rsidRDefault="008A18CF">
      <w:pPr>
        <w:numPr>
          <w:ilvl w:val="0"/>
          <w:numId w:val="34"/>
        </w:numPr>
      </w:pPr>
      <w:r w:rsidRPr="008A18CF">
        <w:rPr>
          <w:b/>
          <w:bCs/>
        </w:rPr>
        <w:t>A kiindulási vegetáció minősítése:</w:t>
      </w:r>
      <w:r w:rsidRPr="008A18CF">
        <w:t xml:space="preserve"> A kiindulási állapotban az ingatlanok felszínének jelentős részét leromlott, részben burkolt vagy törmelékes felületek, valamint elhanyagolt, ruderális gyomvegetáció és alacsony asszimilációs felületű, szakszerűtlen cserjésedések borítják. Az IPCC vonatkozó útmutatói alapján az ilyen típusú, degradált ruderális pionír vegetáció állandó szén-dioxid-megkötési kapacitása és hosszú távú biomassza-akkumulációja </w:t>
      </w:r>
      <w:r w:rsidRPr="008A18CF">
        <w:rPr>
          <w:b/>
          <w:bCs/>
        </w:rPr>
        <w:t>elhanyagolhatónak (gyakorlatilag 0 kg CO</w:t>
      </w:r>
      <w:r w:rsidRPr="00E468FF">
        <w:rPr>
          <w:b/>
          <w:bCs/>
          <w:vertAlign w:val="subscript"/>
        </w:rPr>
        <w:t>2</w:t>
      </w:r>
      <w:r w:rsidRPr="008A18CF">
        <w:rPr>
          <w:b/>
          <w:bCs/>
        </w:rPr>
        <w:t>/m²/év értékűnek)</w:t>
      </w:r>
      <w:r w:rsidRPr="008A18CF">
        <w:t xml:space="preserve"> tekintendő</w:t>
      </w:r>
      <w:r w:rsidR="00E468FF">
        <w:rPr>
          <w:rStyle w:val="Lbjegyzet-hivatkozs"/>
        </w:rPr>
        <w:footnoteReference w:id="18"/>
      </w:r>
      <w:r w:rsidRPr="008A18CF">
        <w:t>.</w:t>
      </w:r>
    </w:p>
    <w:p w14:paraId="2BAD395F" w14:textId="77777777" w:rsidR="008A18CF" w:rsidRPr="008A18CF" w:rsidRDefault="008A18CF">
      <w:pPr>
        <w:numPr>
          <w:ilvl w:val="0"/>
          <w:numId w:val="34"/>
        </w:numPr>
      </w:pPr>
      <w:r w:rsidRPr="008A18CF">
        <w:rPr>
          <w:b/>
          <w:bCs/>
        </w:rPr>
        <w:t>Az elnyelés-kiesés vizsgálatának konklúziója:</w:t>
      </w:r>
      <w:r w:rsidRPr="008A18CF">
        <w:t xml:space="preserve"> Mivel a beruházással érintett építési helyszíneken nem történik értékes fás szárú növényzet vagy stabil erdőtársulás kivágása, a földhasználat-váltásból (</w:t>
      </w:r>
      <w:r w:rsidRPr="008A18CF">
        <w:rPr>
          <w:i/>
          <w:iCs/>
        </w:rPr>
        <w:t>Land-Use Change</w:t>
      </w:r>
      <w:r w:rsidRPr="008A18CF">
        <w:t xml:space="preserve">) eredő </w:t>
      </w:r>
      <w:r w:rsidRPr="008A18CF">
        <w:rPr>
          <w:b/>
          <w:bCs/>
        </w:rPr>
        <w:t>aktív szén-dioxid-elnyelés kieséssel (karbon-nyelő veszteséggel) nem kell számolni</w:t>
      </w:r>
      <w:r w:rsidRPr="008A18CF">
        <w:t>. A barnamezős területek revitalizációja így önmagában megakadályozza a zöldmezős beruházásokra jellemző negatív LULUCF-mérleget, és tiszta indító bázist biztosít a tervezett növénystrukturális fejlesztések nettó pozitív elnyerési mérlegéhez.</w:t>
      </w:r>
    </w:p>
    <w:p w14:paraId="302E7D7E" w14:textId="299B0A64" w:rsidR="00620D3E" w:rsidRDefault="00BE32B7" w:rsidP="00BE32B7">
      <w:pPr>
        <w:pStyle w:val="Cmsor2"/>
      </w:pPr>
      <w:bookmarkStart w:id="52" w:name="_Toc231161118"/>
      <w:r w:rsidRPr="00BE32B7">
        <w:t>A Gip-2 és Má-1 övezetek tervezett magas zöldfelületi mutatóinak bemutatása</w:t>
      </w:r>
      <w:bookmarkEnd w:id="52"/>
    </w:p>
    <w:p w14:paraId="79AD200E" w14:textId="77777777" w:rsidR="00BE32B7" w:rsidRDefault="00BE32B7" w:rsidP="00BE32B7">
      <w:pPr>
        <w:rPr>
          <w:rFonts w:ascii="Times New Roman" w:hAnsi="Times New Roman" w:cs="Times New Roman"/>
        </w:rPr>
      </w:pPr>
      <w:r>
        <w:t xml:space="preserve">A tiszaszőlősi sertéstelep és a kapcsolódó hígtrágyatároló műtárgyak elhelyezkedése területileg két különálló, de egymással szorosan összefüggő építési és szabályozási övezetet érint. A telephelyi infrastruktúra optimális elrendezése és a helyi építési szabályzatok (HÉSZ) maradéktalan teljesítése </w:t>
      </w:r>
      <w:r>
        <w:lastRenderedPageBreak/>
        <w:t xml:space="preserve">érdekében a fejlesztés a </w:t>
      </w:r>
      <w:r>
        <w:rPr>
          <w:b/>
          <w:bCs/>
        </w:rPr>
        <w:t>Gip-2</w:t>
      </w:r>
      <w:r>
        <w:t xml:space="preserve"> (egyéb ipari gazdasági) és az </w:t>
      </w:r>
      <w:r>
        <w:rPr>
          <w:b/>
          <w:bCs/>
        </w:rPr>
        <w:t>Má-1</w:t>
      </w:r>
      <w:r>
        <w:t xml:space="preserve"> (általános mezőgazdasági) övezeti besorolású ingatlanrészekre tagozódik.</w:t>
      </w:r>
    </w:p>
    <w:p w14:paraId="01B3C50E" w14:textId="7C7F3DAE" w:rsidR="00BE32B7" w:rsidRDefault="00BE32B7" w:rsidP="00BE32B7">
      <w:r>
        <w:t>A a beruházó nem csupán a minimálisan előírt jogszabályi kötelezettségeket teljesíti, hanem a telephely teljes tájépítészeti koncepcióját úgy alakította ki, hogy az aktív zöldfelületek kiterjedése és minősége maximális ökológiai és klímavédelmi hasznot biztosítson.</w:t>
      </w:r>
    </w:p>
    <w:p w14:paraId="15A687AB" w14:textId="6FF6814B" w:rsidR="00620D3E" w:rsidRDefault="00BE32B7" w:rsidP="00BE32B7">
      <w:pPr>
        <w:pStyle w:val="Cmsor3"/>
      </w:pPr>
      <w:bookmarkStart w:id="53" w:name="_Toc231161119"/>
      <w:r w:rsidRPr="00BE32B7">
        <w:t>Övezeti előírások és a tervezett zöldfelületi arányok</w:t>
      </w:r>
      <w:bookmarkEnd w:id="53"/>
    </w:p>
    <w:p w14:paraId="5957490E" w14:textId="5676FA05" w:rsidR="00BE32B7" w:rsidRDefault="00BE32B7" w:rsidP="00BE32B7">
      <w:pPr>
        <w:pStyle w:val="Listaszerbekezds"/>
        <w:rPr>
          <w:rFonts w:ascii="Times New Roman" w:hAnsi="Times New Roman" w:cs="Times New Roman"/>
        </w:rPr>
      </w:pPr>
      <w:r>
        <w:rPr>
          <w:b/>
          <w:bCs/>
        </w:rPr>
        <w:t>Gip-2 övezet (Ipari gazdasági zóna):</w:t>
      </w:r>
      <w:r>
        <w:t xml:space="preserve"> Ez az övezet magában foglalja a 4 db modern istállóépületet, a szociális blokkot, a takarmánysilókat, valamint a kiszolgáló technológiai utakat és burkolt felületeket. Az ipari övezetekre vonatkozó merev beépítési mutatók mellett a HÉSZ szigorú előírásokat fogalmaz meg a kötelezően kialakítandó legkisebb zöldfelületi arányra vonatkozóan, amelyet a nehézgépjármű-forgalom és a technológiai pontforrások hatásainak tompítására kell fordítani.</w:t>
      </w:r>
    </w:p>
    <w:p w14:paraId="049A7A2D" w14:textId="6EF5BFD4" w:rsidR="00BE32B7" w:rsidRDefault="00BE32B7" w:rsidP="00BE32B7">
      <w:pPr>
        <w:pStyle w:val="Listaszerbekezds"/>
      </w:pPr>
      <w:r>
        <w:rPr>
          <w:b/>
          <w:bCs/>
        </w:rPr>
        <w:t>Má-1 övezet (Általános mezőgazdasági zóna):</w:t>
      </w:r>
      <w:r>
        <w:t xml:space="preserve"> Ez a terület ad otthont a hígtrágya-technológia külső elemeinek, a fedett végtároló műtárgynak, valamint a telephelyet övező biztonsági és elválasztó zónáknak. A mezőgazdasági zóna természetközeli jellege megköveteli a tájba illesztést és a magas biológiai aktivitású felületek fenntartását.</w:t>
      </w:r>
    </w:p>
    <w:p w14:paraId="354DCCE4" w14:textId="399C450D" w:rsidR="00BE32B7" w:rsidRDefault="00BE32B7" w:rsidP="00BE32B7">
      <w:pPr>
        <w:pStyle w:val="Listaszerbekezds"/>
      </w:pPr>
      <w:r>
        <w:rPr>
          <w:b/>
          <w:bCs/>
        </w:rPr>
        <w:t>A zöldfelület összesített kiterjedése:</w:t>
      </w:r>
      <w:r>
        <w:t xml:space="preserve"> A telephely belső és határvonalak menti területein a tájépítészeti és területrendezési tervek alapján mindösszesen </w:t>
      </w:r>
      <w:r>
        <w:rPr>
          <w:b/>
          <w:bCs/>
        </w:rPr>
        <w:t>15 205,33 m²</w:t>
      </w:r>
      <w:r>
        <w:t xml:space="preserve"> (több mint 1,5 hektár) összefüggő, tervezett </w:t>
      </w:r>
      <w:r>
        <w:rPr>
          <w:b/>
          <w:bCs/>
        </w:rPr>
        <w:t>aktív zöldfelület</w:t>
      </w:r>
      <w:r>
        <w:t xml:space="preserve"> kerül kialakításra és fenntartásra. Ez a volumen messze meghaladja a barnamezős területek revitalizációjánál elvárt átlagos biológiai felületi arányokat, és közvetlen zöldinfrastrukturális bázist nyújt a telep számára.</w:t>
      </w:r>
    </w:p>
    <w:p w14:paraId="51A4E994" w14:textId="2A846525" w:rsidR="00620D3E" w:rsidRDefault="003A2DE4" w:rsidP="003A2DE4">
      <w:pPr>
        <w:pStyle w:val="Cmsor3"/>
      </w:pPr>
      <w:bookmarkStart w:id="54" w:name="_Toc231161120"/>
      <w:r w:rsidRPr="003A2DE4">
        <w:t>A tervezett zöldfelület minőségi és strukturális jellemzői</w:t>
      </w:r>
      <w:bookmarkEnd w:id="54"/>
    </w:p>
    <w:p w14:paraId="13364174" w14:textId="77777777" w:rsidR="003A2DE4" w:rsidRPr="003A2DE4" w:rsidRDefault="003A2DE4" w:rsidP="003A2DE4">
      <w:r w:rsidRPr="003A2DE4">
        <w:t xml:space="preserve">Klímavédelmi és szén-dioxid-megkötési szempontból a zöldfelület puszta mérete mellett annak vertikális tagozódása (struktúrája) a meghatározó tényező. A Kft. által tervezett 15 205,33 m²-es felület nem homogén fűfelületként valósul meg, hanem egy összetett, </w:t>
      </w:r>
      <w:r w:rsidRPr="003A2DE4">
        <w:rPr>
          <w:b/>
          <w:bCs/>
        </w:rPr>
        <w:t>többszintes növényállományként</w:t>
      </w:r>
      <w:r w:rsidRPr="003A2DE4">
        <w:t xml:space="preserve"> épül fel:</w:t>
      </w:r>
    </w:p>
    <w:p w14:paraId="2379A8CE" w14:textId="77777777" w:rsidR="003A2DE4" w:rsidRPr="003A2DE4" w:rsidRDefault="003A2DE4">
      <w:pPr>
        <w:numPr>
          <w:ilvl w:val="0"/>
          <w:numId w:val="35"/>
        </w:numPr>
      </w:pPr>
      <w:r w:rsidRPr="003A2DE4">
        <w:rPr>
          <w:b/>
          <w:bCs/>
        </w:rPr>
        <w:t>Lágyszárú szint (Gyeptakaró):</w:t>
      </w:r>
      <w:r w:rsidRPr="003A2DE4">
        <w:t xml:space="preserve"> Biztosítja a talajfelszín teljes és zárt borítását, megakadályozva a talajeróziót és a közvetlen felszíni porzást, miközben fenntartja a talaj alapvető vízmegtartó képességét.</w:t>
      </w:r>
    </w:p>
    <w:p w14:paraId="0D4D9A04" w14:textId="77777777" w:rsidR="003A2DE4" w:rsidRPr="003A2DE4" w:rsidRDefault="003A2DE4">
      <w:pPr>
        <w:numPr>
          <w:ilvl w:val="0"/>
          <w:numId w:val="35"/>
        </w:numPr>
      </w:pPr>
      <w:r w:rsidRPr="003A2DE4">
        <w:rPr>
          <w:b/>
          <w:bCs/>
        </w:rPr>
        <w:t>Cserjeszint (Középső lombkorona-szint):</w:t>
      </w:r>
      <w:r w:rsidRPr="003A2DE4">
        <w:t xml:space="preserve"> Sűrűbb, tömött térelválasztást biztosító bokor- és cserjesorokból áll, amelyek jelentős asszimilációs (levél-) felülettel rendelkeznek a gáz- és pormegkötéshez.</w:t>
      </w:r>
    </w:p>
    <w:p w14:paraId="751A4140" w14:textId="77777777" w:rsidR="003A2DE4" w:rsidRPr="003A2DE4" w:rsidRDefault="003A2DE4">
      <w:pPr>
        <w:numPr>
          <w:ilvl w:val="0"/>
          <w:numId w:val="35"/>
        </w:numPr>
      </w:pPr>
      <w:r w:rsidRPr="003A2DE4">
        <w:rPr>
          <w:b/>
          <w:bCs/>
        </w:rPr>
        <w:t>Fás szárú szint (Felső lombkorona-szint):</w:t>
      </w:r>
      <w:r w:rsidRPr="003A2DE4">
        <w:t xml:space="preserve"> Magas növésű, lombhullató faállomány, amely a legnagyobb egyedi biomassza-tömeget és ezáltal a legintenzívebb hosszú távú szénmegkötési potenciált képviseli a telepen belül.</w:t>
      </w:r>
    </w:p>
    <w:p w14:paraId="5A595423" w14:textId="07AA8B36" w:rsidR="00620D3E" w:rsidRDefault="003A2DE4" w:rsidP="003A2DE4">
      <w:pPr>
        <w:pStyle w:val="Cmsor3"/>
      </w:pPr>
      <w:bookmarkStart w:id="55" w:name="_Toc231161121"/>
      <w:r w:rsidRPr="003A2DE4">
        <w:t>A magas zöldfelületi mutatók közvetlen éghajlatvédelmi és környezeti előnyei</w:t>
      </w:r>
      <w:bookmarkEnd w:id="55"/>
    </w:p>
    <w:p w14:paraId="4CAA401B" w14:textId="77777777" w:rsidR="00965AA3" w:rsidRPr="00965AA3" w:rsidRDefault="00965AA3" w:rsidP="00965AA3">
      <w:r w:rsidRPr="00965AA3">
        <w:t>A Gip-2 és Má-1 övezetekben megvalósuló sűrű növényzet három alapvető környezet- és klímavédelmi funkciót lát el a telephely mindennapi működése során:</w:t>
      </w:r>
    </w:p>
    <w:p w14:paraId="3A6A2F77" w14:textId="586DAFD5" w:rsidR="00965AA3" w:rsidRPr="00965AA3" w:rsidRDefault="00965AA3">
      <w:pPr>
        <w:numPr>
          <w:ilvl w:val="0"/>
          <w:numId w:val="36"/>
        </w:numPr>
      </w:pPr>
      <w:r w:rsidRPr="00965AA3">
        <w:rPr>
          <w:b/>
          <w:bCs/>
        </w:rPr>
        <w:t>Lokális mikroklíma-stabilizáció (Evaporatív hűtőhatás):</w:t>
      </w:r>
      <w:r w:rsidRPr="00965AA3">
        <w:t xml:space="preserve"> A nyári aszályos időszakokban és a fokozódó intenzitású hőhullámok alatt a burkolt felületek és az istállók tetőszerkezetei hajlamosak a túlmelegedésre (lokális hősziget-hatás). A 1,5 hektáros zöldfelület növényei a gyökérzetük által felszívott vizet a leveleiken keresztül folyamatosan </w:t>
      </w:r>
      <w:r w:rsidRPr="00965AA3">
        <w:lastRenderedPageBreak/>
        <w:t xml:space="preserve">elpárologtatják (transzspiráció). Ez a természetes evaporatív folyamat hűti a telephely környező levegőjét, mikroklíma-szinten támogatva az istállók </w:t>
      </w:r>
      <w:r>
        <w:t>6</w:t>
      </w:r>
      <w:r w:rsidRPr="00965AA3">
        <w:t>.2.2. pontban bemutatott Cool-pad gépészeti hűtőrendszerének hatékonyságát.</w:t>
      </w:r>
    </w:p>
    <w:p w14:paraId="16ABB20A" w14:textId="77777777" w:rsidR="00965AA3" w:rsidRPr="00965AA3" w:rsidRDefault="00965AA3">
      <w:pPr>
        <w:numPr>
          <w:ilvl w:val="0"/>
          <w:numId w:val="36"/>
        </w:numPr>
      </w:pPr>
      <w:r w:rsidRPr="00965AA3">
        <w:rPr>
          <w:b/>
          <w:bCs/>
        </w:rPr>
        <w:t>Diffúz porszűrés és bioaeroszol-retenció:</w:t>
      </w:r>
      <w:r w:rsidRPr="00965AA3">
        <w:t xml:space="preserve"> Az állattartó épületekből a Big Dutchman ventilátorok által kibocsátott elszívott levegő elkerülhetetlenül tartalmaz minimális mennyiségű technológiai port és bioaeroszolt. A tervezett többszintes zöldfelület fizikai szűrőgátként (felfogó zónaként) működik: a sűrű lomb- és cserjelevélzet megtöri a légáramlatok sebességét, aminek hatására a porszemcsék leülepednek a leveleken, megakadályozva a szennyeződések diffúz elterjedését a környező Má-1 övezeti szántóföldek irányába.</w:t>
      </w:r>
    </w:p>
    <w:p w14:paraId="53D9D9E3" w14:textId="1C6905AB" w:rsidR="00965AA3" w:rsidRPr="00965AA3" w:rsidRDefault="00965AA3">
      <w:pPr>
        <w:numPr>
          <w:ilvl w:val="0"/>
          <w:numId w:val="36"/>
        </w:numPr>
      </w:pPr>
      <w:r w:rsidRPr="00965AA3">
        <w:rPr>
          <w:b/>
          <w:bCs/>
        </w:rPr>
        <w:t>Folyamatos és stabil szén-dioxid-megkötési háttér:</w:t>
      </w:r>
      <w:r w:rsidRPr="00965AA3">
        <w:t xml:space="preserve"> Az </w:t>
      </w:r>
      <w:r>
        <w:t>7</w:t>
      </w:r>
      <w:r w:rsidRPr="00965AA3">
        <w:t>.1. pontban bemutatott leromlott, ruderális kiindulási állapothoz képest a szakszerűen gondozott, zárt gyeptakaró és a hozzá kapcsolódó cserjeszint egy állandó, évről évre megújuló és stabil szénmegkötő bázist hoz létre a telephelyen belül, javítva a létesítmény nettó Scope 1 ÜHG-mérlegét.</w:t>
      </w:r>
    </w:p>
    <w:p w14:paraId="2FEA3F92" w14:textId="7705BE02" w:rsidR="00620D3E" w:rsidRDefault="00965AA3" w:rsidP="00965AA3">
      <w:pPr>
        <w:pStyle w:val="Cmsor2"/>
      </w:pPr>
      <w:bookmarkStart w:id="56" w:name="_Toc231161122"/>
      <w:r w:rsidRPr="00965AA3">
        <w:t>A 3 szintes védőfásítás éves szén-dioxid-megkötő kapacitásának számítása</w:t>
      </w:r>
      <w:bookmarkEnd w:id="56"/>
    </w:p>
    <w:p w14:paraId="3D144D7C" w14:textId="2FE64F23" w:rsidR="001E4F19" w:rsidRDefault="007B4796" w:rsidP="001E4F19">
      <w:r w:rsidRPr="007B4796">
        <w:t xml:space="preserve">A tervezett </w:t>
      </w:r>
      <w:r w:rsidRPr="007B4796">
        <w:rPr>
          <w:b/>
          <w:bCs/>
        </w:rPr>
        <w:t>15 205,33 m²</w:t>
      </w:r>
      <w:r w:rsidRPr="007B4796">
        <w:t xml:space="preserve"> kiterjedésű zöldfelület aktív szén-dioxid-elnyelésének számszerűsítése a hazai és nemzetközi szakirodalomban rögzített dendrológiai és növényökológiai emissziós és elnyelési tényezőkön alapul.</w:t>
      </w:r>
    </w:p>
    <w:p w14:paraId="2A98034C" w14:textId="6461C6F7" w:rsidR="00620D3E" w:rsidRDefault="007B4796" w:rsidP="007B4796">
      <w:pPr>
        <w:pStyle w:val="Cmsor3"/>
      </w:pPr>
      <w:bookmarkStart w:id="57" w:name="_Toc231161123"/>
      <w:r w:rsidRPr="007B4796">
        <w:t>A fás szárú szint (Mezei juhar fasorok) éves szén-dioxid-elnyelése</w:t>
      </w:r>
      <w:bookmarkEnd w:id="57"/>
    </w:p>
    <w:p w14:paraId="76406A8B" w14:textId="4EA051BF" w:rsidR="007B4796" w:rsidRPr="007B4796" w:rsidRDefault="007B4796" w:rsidP="007B4796">
      <w:r w:rsidRPr="007B4796">
        <w:t xml:space="preserve">A telephely uralkodó szélirány felőli határvonalán, valamint az istállóépületek közötti terekben összesen </w:t>
      </w:r>
      <w:r w:rsidRPr="007B4796">
        <w:rPr>
          <w:b/>
          <w:bCs/>
        </w:rPr>
        <w:t>150 tő Mezei juhar (</w:t>
      </w:r>
      <w:r w:rsidRPr="007B4796">
        <w:rPr>
          <w:b/>
          <w:bCs/>
          <w:i/>
          <w:iCs/>
        </w:rPr>
        <w:t>Acer campestre</w:t>
      </w:r>
      <w:r w:rsidRPr="007B4796">
        <w:rPr>
          <w:b/>
          <w:bCs/>
        </w:rPr>
        <w:t>)</w:t>
      </w:r>
      <w:r w:rsidRPr="007B4796">
        <w:t xml:space="preserve"> sorfa betelepítése</w:t>
      </w:r>
      <w:r>
        <w:t xml:space="preserve"> javasolt</w:t>
      </w:r>
      <w:r w:rsidRPr="007B4796">
        <w:t>. A mezei juhar az alföldi klímára és a tiszai régióra jellemző, szigorúan őshonos, magas aszály- és várostűréssel rendelkező fa.</w:t>
      </w:r>
    </w:p>
    <w:p w14:paraId="20444D7C" w14:textId="61F672C1" w:rsidR="007B4796" w:rsidRPr="007B4796" w:rsidRDefault="007B4796">
      <w:pPr>
        <w:numPr>
          <w:ilvl w:val="0"/>
          <w:numId w:val="37"/>
        </w:numPr>
      </w:pPr>
      <w:r w:rsidRPr="007B4796">
        <w:rPr>
          <w:b/>
          <w:bCs/>
        </w:rPr>
        <w:t>Számítási módszertan és forrás:</w:t>
      </w:r>
      <w:r w:rsidRPr="007B4796">
        <w:t xml:space="preserve"> Az urbanizált és mesterséges környezetbe telepített lombhullató faállományok középkorú egyedeire vetített nemzetközi standard elnyelési mutató </w:t>
      </w:r>
      <w:r w:rsidRPr="007B4796">
        <w:rPr>
          <w:b/>
          <w:bCs/>
        </w:rPr>
        <w:t>25,0 kg CO</w:t>
      </w:r>
      <w:r w:rsidRPr="007B4796">
        <w:rPr>
          <w:rFonts w:ascii="Cambria Math" w:hAnsi="Cambria Math" w:cs="Cambria Math"/>
          <w:b/>
          <w:bCs/>
        </w:rPr>
        <w:t>₂</w:t>
      </w:r>
      <w:r w:rsidRPr="007B4796">
        <w:rPr>
          <w:b/>
          <w:bCs/>
        </w:rPr>
        <w:t>/fa/</w:t>
      </w:r>
      <w:r w:rsidRPr="007B4796">
        <w:rPr>
          <w:rFonts w:cs="Garamond"/>
          <w:b/>
          <w:bCs/>
        </w:rPr>
        <w:t>é</w:t>
      </w:r>
      <w:r w:rsidRPr="007B4796">
        <w:rPr>
          <w:b/>
          <w:bCs/>
        </w:rPr>
        <w:t>v</w:t>
      </w:r>
      <w:r>
        <w:rPr>
          <w:rStyle w:val="Lbjegyzet-hivatkozs"/>
          <w:b/>
          <w:bCs/>
        </w:rPr>
        <w:footnoteReference w:id="19"/>
      </w:r>
      <w:r w:rsidRPr="007B4796">
        <w:t>.</w:t>
      </w:r>
    </w:p>
    <w:p w14:paraId="775D529A" w14:textId="77777777" w:rsidR="007B4796" w:rsidRPr="007B4796" w:rsidRDefault="007B4796">
      <w:pPr>
        <w:numPr>
          <w:ilvl w:val="0"/>
          <w:numId w:val="37"/>
        </w:numPr>
      </w:pPr>
      <w:r w:rsidRPr="007B4796">
        <w:rPr>
          <w:b/>
          <w:bCs/>
        </w:rPr>
        <w:t>Matematikai levezetés:</w:t>
      </w:r>
    </w:p>
    <w:p w14:paraId="0C43488A" w14:textId="5D164AC5" w:rsidR="00965AA3" w:rsidRPr="00774444" w:rsidRDefault="00774444" w:rsidP="007B4796">
      <w:pPr>
        <w:jc w:val="center"/>
      </w:pPr>
      <w:r>
        <w:t xml:space="preserve">150 db fa * 25,0 kg </w:t>
      </w:r>
      <w:r w:rsidRPr="00774444">
        <w:t>CO</w:t>
      </w:r>
      <w:r w:rsidRPr="00774444">
        <w:rPr>
          <w:rFonts w:ascii="Cambria Math" w:hAnsi="Cambria Math" w:cs="Cambria Math"/>
        </w:rPr>
        <w:t>₂</w:t>
      </w:r>
      <w:r w:rsidRPr="00774444">
        <w:t>/fa/</w:t>
      </w:r>
      <w:r w:rsidRPr="00774444">
        <w:rPr>
          <w:rFonts w:cs="Garamond"/>
        </w:rPr>
        <w:t>é</w:t>
      </w:r>
      <w:r w:rsidRPr="00774444">
        <w:t>v</w:t>
      </w:r>
      <w:r>
        <w:t xml:space="preserve"> = 3750 kg </w:t>
      </w:r>
      <w:r w:rsidRPr="00774444">
        <w:t>CO</w:t>
      </w:r>
      <w:r w:rsidRPr="00774444">
        <w:rPr>
          <w:rFonts w:ascii="Cambria Math" w:hAnsi="Cambria Math" w:cs="Cambria Math"/>
        </w:rPr>
        <w:t>₂</w:t>
      </w:r>
      <w:r w:rsidRPr="00774444">
        <w:t>/</w:t>
      </w:r>
      <w:r w:rsidRPr="00774444">
        <w:rPr>
          <w:rFonts w:cs="Garamond"/>
        </w:rPr>
        <w:t>é</w:t>
      </w:r>
      <w:r w:rsidRPr="00774444">
        <w:t>v</w:t>
      </w:r>
      <w:r>
        <w:t xml:space="preserve"> = 3,750 t CO</w:t>
      </w:r>
      <w:r w:rsidRPr="00774444">
        <w:rPr>
          <w:vertAlign w:val="subscript"/>
        </w:rPr>
        <w:t>2</w:t>
      </w:r>
      <w:r>
        <w:t>/év</w:t>
      </w:r>
    </w:p>
    <w:p w14:paraId="70806D83" w14:textId="307EEF49" w:rsidR="00965AA3" w:rsidRDefault="00774444" w:rsidP="00774444">
      <w:pPr>
        <w:pStyle w:val="Cmsor3"/>
      </w:pPr>
      <w:bookmarkStart w:id="58" w:name="_Toc231161124"/>
      <w:r w:rsidRPr="00774444">
        <w:t>A cserjeszint (Közönséges fagyal sávok) éves szén-dioxid-elnyelése</w:t>
      </w:r>
      <w:bookmarkEnd w:id="58"/>
    </w:p>
    <w:p w14:paraId="521CB9AE" w14:textId="1B024012" w:rsidR="00774444" w:rsidRPr="00774444" w:rsidRDefault="00774444" w:rsidP="00774444">
      <w:r w:rsidRPr="00774444">
        <w:t xml:space="preserve">A fasorok aljnövényzeteként, valamint a hígtrágyatároló műtárgy védősávjaiban sűrű, többsoros </w:t>
      </w:r>
      <w:r w:rsidRPr="00774444">
        <w:rPr>
          <w:b/>
          <w:bCs/>
        </w:rPr>
        <w:t>Közönséges fagyal (</w:t>
      </w:r>
      <w:r w:rsidRPr="00774444">
        <w:rPr>
          <w:b/>
          <w:bCs/>
          <w:i/>
          <w:iCs/>
        </w:rPr>
        <w:t>Ligustrum vulgare</w:t>
      </w:r>
      <w:r w:rsidRPr="00774444">
        <w:rPr>
          <w:b/>
          <w:bCs/>
        </w:rPr>
        <w:t>)</w:t>
      </w:r>
      <w:r w:rsidRPr="00774444">
        <w:t xml:space="preserve"> cserjeállomány kialakítás</w:t>
      </w:r>
      <w:r w:rsidR="00476BCC">
        <w:t>át javasoljuk</w:t>
      </w:r>
      <w:r w:rsidRPr="00774444">
        <w:t xml:space="preserve"> </w:t>
      </w:r>
      <w:r w:rsidRPr="00774444">
        <w:rPr>
          <w:b/>
          <w:bCs/>
        </w:rPr>
        <w:t>2500 m²</w:t>
      </w:r>
      <w:r w:rsidRPr="00774444">
        <w:t xml:space="preserve"> tiszta felületen. Ez a faj a tiszamenti ártéri szegélyek őshonos, nem-inváziós alapfaja, amely sűrű levélzete révén kiemelkedő asszimilációs felületet biztosít.</w:t>
      </w:r>
    </w:p>
    <w:p w14:paraId="330C1829" w14:textId="1AE0F77E" w:rsidR="00774444" w:rsidRDefault="00774444">
      <w:pPr>
        <w:numPr>
          <w:ilvl w:val="0"/>
          <w:numId w:val="38"/>
        </w:numPr>
      </w:pPr>
      <w:r w:rsidRPr="00774444">
        <w:rPr>
          <w:b/>
          <w:bCs/>
        </w:rPr>
        <w:t>Számítási módszertan és forrás:</w:t>
      </w:r>
      <w:r w:rsidRPr="00774444">
        <w:t xml:space="preserve"> A sűrű, zárt, szakszerűen gondozott és nyírt hazai cserjesorok éves nettó szén-dioxid-megkötési tényezője </w:t>
      </w:r>
      <w:r w:rsidRPr="00774444">
        <w:rPr>
          <w:b/>
          <w:bCs/>
        </w:rPr>
        <w:t>1,80 kg CO</w:t>
      </w:r>
      <w:r w:rsidRPr="00774444">
        <w:rPr>
          <w:rFonts w:ascii="Cambria Math" w:hAnsi="Cambria Math" w:cs="Cambria Math"/>
          <w:b/>
          <w:bCs/>
        </w:rPr>
        <w:t>₂</w:t>
      </w:r>
      <w:r w:rsidRPr="00774444">
        <w:rPr>
          <w:b/>
          <w:bCs/>
        </w:rPr>
        <w:t>/m</w:t>
      </w:r>
      <w:r w:rsidRPr="00774444">
        <w:rPr>
          <w:rFonts w:cs="Garamond"/>
          <w:b/>
          <w:bCs/>
        </w:rPr>
        <w:t>²</w:t>
      </w:r>
      <w:r w:rsidRPr="00774444">
        <w:rPr>
          <w:b/>
          <w:bCs/>
        </w:rPr>
        <w:t>/</w:t>
      </w:r>
      <w:r w:rsidRPr="00774444">
        <w:rPr>
          <w:rFonts w:cs="Garamond"/>
          <w:b/>
          <w:bCs/>
        </w:rPr>
        <w:t>é</w:t>
      </w:r>
      <w:r w:rsidRPr="00774444">
        <w:rPr>
          <w:b/>
          <w:bCs/>
        </w:rPr>
        <w:t>v</w:t>
      </w:r>
      <w:r w:rsidR="00476BCC">
        <w:rPr>
          <w:rStyle w:val="Lbjegyzet-hivatkozs"/>
          <w:b/>
          <w:bCs/>
        </w:rPr>
        <w:footnoteReference w:id="20"/>
      </w:r>
      <w:r w:rsidR="00476BCC">
        <w:rPr>
          <w:b/>
          <w:bCs/>
        </w:rPr>
        <w:t>.</w:t>
      </w:r>
    </w:p>
    <w:p w14:paraId="1B833923" w14:textId="779B1BB9" w:rsidR="00476BCC" w:rsidRPr="00774444" w:rsidRDefault="00476BCC">
      <w:pPr>
        <w:numPr>
          <w:ilvl w:val="0"/>
          <w:numId w:val="38"/>
        </w:numPr>
      </w:pPr>
      <w:r w:rsidRPr="00476BCC">
        <w:lastRenderedPageBreak/>
        <w:t>Matematikai levezetés:</w:t>
      </w:r>
    </w:p>
    <w:p w14:paraId="45379B22" w14:textId="202D1635" w:rsidR="00965AA3" w:rsidRDefault="00476BCC" w:rsidP="00476BCC">
      <w:pPr>
        <w:jc w:val="center"/>
      </w:pPr>
      <w:r>
        <w:t>2500 m</w:t>
      </w:r>
      <w:r w:rsidRPr="000E0115">
        <w:rPr>
          <w:vertAlign w:val="superscript"/>
        </w:rPr>
        <w:t>2</w:t>
      </w:r>
      <w:r>
        <w:t xml:space="preserve"> cserjefelület * 1,80 kg CO</w:t>
      </w:r>
      <w:r w:rsidRPr="000E0115">
        <w:rPr>
          <w:vertAlign w:val="subscript"/>
        </w:rPr>
        <w:t>2</w:t>
      </w:r>
      <w:r>
        <w:t>/m</w:t>
      </w:r>
      <w:r w:rsidRPr="000E0115">
        <w:rPr>
          <w:vertAlign w:val="superscript"/>
        </w:rPr>
        <w:t>2</w:t>
      </w:r>
      <w:r>
        <w:t>/év = 4500 kg CO</w:t>
      </w:r>
      <w:r w:rsidRPr="000E0115">
        <w:rPr>
          <w:vertAlign w:val="subscript"/>
        </w:rPr>
        <w:t>2</w:t>
      </w:r>
      <w:r>
        <w:t>/év = 4,5</w:t>
      </w:r>
      <w:r w:rsidR="000E0115">
        <w:t xml:space="preserve"> t CO</w:t>
      </w:r>
      <w:r w:rsidR="000E0115" w:rsidRPr="000E0115">
        <w:rPr>
          <w:vertAlign w:val="subscript"/>
        </w:rPr>
        <w:t>2</w:t>
      </w:r>
      <w:r w:rsidR="000E0115">
        <w:t>/év</w:t>
      </w:r>
    </w:p>
    <w:p w14:paraId="24AE3135" w14:textId="1EA4157B" w:rsidR="00965AA3" w:rsidRDefault="000E0115" w:rsidP="000E0115">
      <w:pPr>
        <w:pStyle w:val="Cmsor3"/>
      </w:pPr>
      <w:bookmarkStart w:id="59" w:name="_Toc231161125"/>
      <w:r w:rsidRPr="000E0115">
        <w:t>A lágyszárú szint (Zárt gyeptakaró) éves szén-dioxid-elnyelése</w:t>
      </w:r>
      <w:bookmarkEnd w:id="59"/>
    </w:p>
    <w:p w14:paraId="6044BB7C" w14:textId="4FCD7759" w:rsidR="000E0115" w:rsidRPr="000E0115" w:rsidRDefault="000E0115" w:rsidP="000E0115">
      <w:r w:rsidRPr="000E0115">
        <w:t xml:space="preserve">A fák és cserjesorok által közvetlenül el nem foglalt, burkolatlan telephelyi belső felületeken összefüggő, folyamatosan karbantartott és nyírt gyeptakaró létesül </w:t>
      </w:r>
      <w:r w:rsidRPr="000E0115">
        <w:rPr>
          <w:b/>
          <w:bCs/>
        </w:rPr>
        <w:t>12 705,33 m²</w:t>
      </w:r>
      <w:r w:rsidRPr="000E0115">
        <w:t xml:space="preserve"> területen (15205,33 - 2500 m² = 12705,33</w:t>
      </w:r>
      <w:r>
        <w:t xml:space="preserve"> </w:t>
      </w:r>
      <w:r w:rsidRPr="000E0115">
        <w:t>m²</w:t>
      </w:r>
      <w:r>
        <w:t>)</w:t>
      </w:r>
      <w:r w:rsidRPr="000E0115">
        <w:t>.</w:t>
      </w:r>
    </w:p>
    <w:p w14:paraId="47D95D96" w14:textId="04896437" w:rsidR="000E0115" w:rsidRPr="000E0115" w:rsidRDefault="000E0115">
      <w:pPr>
        <w:numPr>
          <w:ilvl w:val="0"/>
          <w:numId w:val="39"/>
        </w:numPr>
      </w:pPr>
      <w:r w:rsidRPr="000E0115">
        <w:rPr>
          <w:b/>
          <w:bCs/>
        </w:rPr>
        <w:t>Számítási módszertan és forrás:</w:t>
      </w:r>
      <w:r w:rsidRPr="000E0115">
        <w:t xml:space="preserve"> A zárt, folyamatosan megújuló és talajborítást biztosító intenzív gyeptakaró fajlagos éves nettó megkötési tényezője </w:t>
      </w:r>
      <w:r w:rsidRPr="000E0115">
        <w:rPr>
          <w:b/>
          <w:bCs/>
        </w:rPr>
        <w:t>0,35 kg CO</w:t>
      </w:r>
      <w:r w:rsidRPr="000E0115">
        <w:rPr>
          <w:rFonts w:ascii="Cambria Math" w:hAnsi="Cambria Math" w:cs="Cambria Math"/>
          <w:b/>
          <w:bCs/>
        </w:rPr>
        <w:t>₂</w:t>
      </w:r>
      <w:r w:rsidRPr="000E0115">
        <w:rPr>
          <w:b/>
          <w:bCs/>
        </w:rPr>
        <w:t xml:space="preserve"> / m</w:t>
      </w:r>
      <w:r w:rsidRPr="000E0115">
        <w:rPr>
          <w:rFonts w:cs="Garamond"/>
          <w:b/>
          <w:bCs/>
        </w:rPr>
        <w:t>²</w:t>
      </w:r>
      <w:r w:rsidRPr="000E0115">
        <w:rPr>
          <w:b/>
          <w:bCs/>
        </w:rPr>
        <w:t xml:space="preserve"> / </w:t>
      </w:r>
      <w:r w:rsidRPr="000E0115">
        <w:rPr>
          <w:rFonts w:cs="Garamond"/>
          <w:b/>
          <w:bCs/>
        </w:rPr>
        <w:t>é</w:t>
      </w:r>
      <w:r w:rsidRPr="000E0115">
        <w:rPr>
          <w:b/>
          <w:bCs/>
        </w:rPr>
        <w:t>v</w:t>
      </w:r>
      <w:r w:rsidR="00256C57">
        <w:rPr>
          <w:rStyle w:val="Lbjegyzet-hivatkozs"/>
          <w:b/>
          <w:bCs/>
        </w:rPr>
        <w:footnoteReference w:id="21"/>
      </w:r>
      <w:r w:rsidRPr="000E0115">
        <w:t>.</w:t>
      </w:r>
    </w:p>
    <w:p w14:paraId="7C13338A" w14:textId="77777777" w:rsidR="000E0115" w:rsidRPr="000E0115" w:rsidRDefault="000E0115">
      <w:pPr>
        <w:numPr>
          <w:ilvl w:val="0"/>
          <w:numId w:val="39"/>
        </w:numPr>
      </w:pPr>
      <w:r w:rsidRPr="000E0115">
        <w:rPr>
          <w:b/>
          <w:bCs/>
        </w:rPr>
        <w:t>Matematikai levezetés:</w:t>
      </w:r>
    </w:p>
    <w:p w14:paraId="78AD5137" w14:textId="18AAD713" w:rsidR="000E0115" w:rsidRDefault="00256C57" w:rsidP="00256C57">
      <w:pPr>
        <w:jc w:val="center"/>
      </w:pPr>
      <w:r>
        <w:t>12705,33 m</w:t>
      </w:r>
      <w:r w:rsidRPr="00256C57">
        <w:rPr>
          <w:vertAlign w:val="superscript"/>
        </w:rPr>
        <w:t>2</w:t>
      </w:r>
      <w:r>
        <w:t xml:space="preserve"> gyepfelület * 0,35 kg CO</w:t>
      </w:r>
      <w:r w:rsidRPr="00256C57">
        <w:rPr>
          <w:vertAlign w:val="subscript"/>
        </w:rPr>
        <w:t>2</w:t>
      </w:r>
      <w:r>
        <w:t>/m</w:t>
      </w:r>
      <w:r w:rsidRPr="00256C57">
        <w:rPr>
          <w:vertAlign w:val="superscript"/>
        </w:rPr>
        <w:t>2</w:t>
      </w:r>
      <w:r>
        <w:t>/év = 4446,87 kg CO</w:t>
      </w:r>
      <w:r w:rsidRPr="00256C57">
        <w:rPr>
          <w:vertAlign w:val="subscript"/>
        </w:rPr>
        <w:t>2</w:t>
      </w:r>
      <w:r>
        <w:t>/év = 4,447 t CO</w:t>
      </w:r>
      <w:r w:rsidRPr="00256C57">
        <w:rPr>
          <w:vertAlign w:val="subscript"/>
        </w:rPr>
        <w:t>2</w:t>
      </w:r>
      <w:r>
        <w:t>/év</w:t>
      </w:r>
    </w:p>
    <w:tbl>
      <w:tblPr>
        <w:tblStyle w:val="Fekvtblzat"/>
        <w:tblW w:w="0" w:type="auto"/>
        <w:tblLook w:val="04A0" w:firstRow="1" w:lastRow="0" w:firstColumn="1" w:lastColumn="0" w:noHBand="0" w:noVBand="1"/>
      </w:tblPr>
      <w:tblGrid>
        <w:gridCol w:w="1808"/>
        <w:gridCol w:w="1808"/>
        <w:gridCol w:w="1808"/>
        <w:gridCol w:w="1808"/>
        <w:gridCol w:w="1808"/>
      </w:tblGrid>
      <w:tr w:rsidR="007D20F1" w14:paraId="01D3D185" w14:textId="77777777" w:rsidTr="007D20F1">
        <w:trPr>
          <w:cnfStyle w:val="100000000000" w:firstRow="1" w:lastRow="0" w:firstColumn="0" w:lastColumn="0" w:oddVBand="0" w:evenVBand="0" w:oddHBand="0" w:evenHBand="0" w:firstRowFirstColumn="0" w:firstRowLastColumn="0" w:lastRowFirstColumn="0" w:lastRowLastColumn="0"/>
        </w:trPr>
        <w:tc>
          <w:tcPr>
            <w:tcW w:w="1808" w:type="dxa"/>
          </w:tcPr>
          <w:p w14:paraId="7C1F562F" w14:textId="2F2B8CF5" w:rsidR="007D20F1" w:rsidRDefault="007D20F1" w:rsidP="00D81F41">
            <w:r w:rsidRPr="007D20F1">
              <w:t>Növényzeti szint megnevezése</w:t>
            </w:r>
          </w:p>
        </w:tc>
        <w:tc>
          <w:tcPr>
            <w:tcW w:w="1808" w:type="dxa"/>
          </w:tcPr>
          <w:p w14:paraId="593A3E09" w14:textId="79F57707" w:rsidR="007D20F1" w:rsidRDefault="007D20F1" w:rsidP="00A107BF">
            <w:pPr>
              <w:jc w:val="center"/>
            </w:pPr>
            <w:r>
              <w:t>Javasolt</w:t>
            </w:r>
            <w:r w:rsidRPr="007D20F1">
              <w:t xml:space="preserve"> mennyiség / felület</w:t>
            </w:r>
          </w:p>
        </w:tc>
        <w:tc>
          <w:tcPr>
            <w:tcW w:w="1808" w:type="dxa"/>
          </w:tcPr>
          <w:p w14:paraId="2A6ACDF1" w14:textId="6C65E50B" w:rsidR="007D20F1" w:rsidRDefault="007D20F1" w:rsidP="00A107BF">
            <w:pPr>
              <w:jc w:val="center"/>
            </w:pPr>
            <w:r w:rsidRPr="007D20F1">
              <w:t>Fajlagos CO</w:t>
            </w:r>
            <w:r w:rsidRPr="007D20F1">
              <w:rPr>
                <w:rFonts w:ascii="Cambria Math" w:hAnsi="Cambria Math" w:cs="Cambria Math"/>
              </w:rPr>
              <w:t>₂</w:t>
            </w:r>
            <w:r w:rsidRPr="007D20F1">
              <w:t>-elnyel</w:t>
            </w:r>
            <w:r w:rsidRPr="007D20F1">
              <w:rPr>
                <w:rFonts w:cs="Garamond"/>
              </w:rPr>
              <w:t>é</w:t>
            </w:r>
            <w:r w:rsidRPr="007D20F1">
              <w:t>si t</w:t>
            </w:r>
            <w:r w:rsidRPr="007D20F1">
              <w:rPr>
                <w:rFonts w:cs="Garamond"/>
              </w:rPr>
              <w:t>é</w:t>
            </w:r>
            <w:r w:rsidRPr="007D20F1">
              <w:t>nyez</w:t>
            </w:r>
            <w:r w:rsidRPr="007D20F1">
              <w:rPr>
                <w:rFonts w:cs="Garamond"/>
              </w:rPr>
              <w:t>ő</w:t>
            </w:r>
          </w:p>
        </w:tc>
        <w:tc>
          <w:tcPr>
            <w:tcW w:w="1808" w:type="dxa"/>
          </w:tcPr>
          <w:p w14:paraId="5E6B54E4" w14:textId="5795C507" w:rsidR="007D20F1" w:rsidRDefault="007D20F1" w:rsidP="00A107BF">
            <w:pPr>
              <w:jc w:val="center"/>
            </w:pPr>
            <w:r w:rsidRPr="007D20F1">
              <w:t>Éves nettó CO</w:t>
            </w:r>
            <w:r w:rsidRPr="007D20F1">
              <w:rPr>
                <w:rFonts w:ascii="Cambria Math" w:hAnsi="Cambria Math" w:cs="Cambria Math"/>
              </w:rPr>
              <w:t>₂</w:t>
            </w:r>
            <w:r w:rsidRPr="007D20F1">
              <w:t>-megk</w:t>
            </w:r>
            <w:r w:rsidRPr="007D20F1">
              <w:rPr>
                <w:rFonts w:cs="Garamond"/>
              </w:rPr>
              <w:t>ö</w:t>
            </w:r>
            <w:r w:rsidRPr="007D20F1">
              <w:t>t</w:t>
            </w:r>
            <w:r w:rsidRPr="007D20F1">
              <w:rPr>
                <w:rFonts w:cs="Garamond"/>
              </w:rPr>
              <w:t>é</w:t>
            </w:r>
            <w:r w:rsidRPr="007D20F1">
              <w:t>s (t/</w:t>
            </w:r>
            <w:r w:rsidRPr="007D20F1">
              <w:rPr>
                <w:rFonts w:cs="Garamond"/>
              </w:rPr>
              <w:t>é</w:t>
            </w:r>
            <w:r w:rsidRPr="007D20F1">
              <w:t>v)</w:t>
            </w:r>
          </w:p>
        </w:tc>
        <w:tc>
          <w:tcPr>
            <w:tcW w:w="1808" w:type="dxa"/>
          </w:tcPr>
          <w:p w14:paraId="56A48D76" w14:textId="5F12DFE4" w:rsidR="007D20F1" w:rsidRDefault="007D20F1" w:rsidP="00A107BF">
            <w:pPr>
              <w:jc w:val="center"/>
            </w:pPr>
            <w:r w:rsidRPr="007D20F1">
              <w:t>Részarány az összes elnyelésből (%)</w:t>
            </w:r>
          </w:p>
        </w:tc>
      </w:tr>
      <w:tr w:rsidR="007D20F1" w14:paraId="2C8B91C3" w14:textId="77777777" w:rsidTr="00A107BF">
        <w:tc>
          <w:tcPr>
            <w:tcW w:w="1808" w:type="dxa"/>
          </w:tcPr>
          <w:p w14:paraId="36199324" w14:textId="0918E70A" w:rsidR="007D20F1" w:rsidRDefault="00801E2E" w:rsidP="00D81F41">
            <w:r>
              <w:t>F</w:t>
            </w:r>
            <w:r w:rsidRPr="00801E2E">
              <w:t>ás szárú szint (Mezei juhar)</w:t>
            </w:r>
          </w:p>
        </w:tc>
        <w:tc>
          <w:tcPr>
            <w:tcW w:w="1808" w:type="dxa"/>
          </w:tcPr>
          <w:p w14:paraId="0E2E8BEC" w14:textId="00FED983" w:rsidR="007D20F1" w:rsidRDefault="00801E2E" w:rsidP="00A107BF">
            <w:pPr>
              <w:jc w:val="center"/>
            </w:pPr>
            <w:r>
              <w:t>150 db fa</w:t>
            </w:r>
          </w:p>
        </w:tc>
        <w:tc>
          <w:tcPr>
            <w:tcW w:w="1808" w:type="dxa"/>
          </w:tcPr>
          <w:p w14:paraId="2ABA9DEC" w14:textId="59CFF4E0" w:rsidR="007D20F1" w:rsidRDefault="00801E2E" w:rsidP="00A107BF">
            <w:pPr>
              <w:jc w:val="center"/>
            </w:pPr>
            <w:r>
              <w:t>25 kg/fa/év</w:t>
            </w:r>
          </w:p>
        </w:tc>
        <w:tc>
          <w:tcPr>
            <w:tcW w:w="1808" w:type="dxa"/>
          </w:tcPr>
          <w:p w14:paraId="5449419F" w14:textId="2FB98778" w:rsidR="007D20F1" w:rsidRDefault="007D20F1" w:rsidP="00A107BF">
            <w:pPr>
              <w:jc w:val="center"/>
            </w:pPr>
            <w:r>
              <w:t>3,750</w:t>
            </w:r>
          </w:p>
        </w:tc>
        <w:tc>
          <w:tcPr>
            <w:tcW w:w="1808" w:type="dxa"/>
          </w:tcPr>
          <w:p w14:paraId="19675744" w14:textId="7C250446" w:rsidR="007D20F1" w:rsidRDefault="007D20F1" w:rsidP="00A107BF">
            <w:pPr>
              <w:jc w:val="center"/>
            </w:pPr>
            <w:r>
              <w:t>29,53</w:t>
            </w:r>
          </w:p>
        </w:tc>
      </w:tr>
      <w:tr w:rsidR="007D20F1" w14:paraId="3BDD4351" w14:textId="77777777" w:rsidTr="00A107BF">
        <w:tc>
          <w:tcPr>
            <w:tcW w:w="1808" w:type="dxa"/>
          </w:tcPr>
          <w:p w14:paraId="0163B950" w14:textId="355AB0EA" w:rsidR="007D20F1" w:rsidRDefault="00801E2E" w:rsidP="00D81F41">
            <w:r w:rsidRPr="00801E2E">
              <w:t>Cserjeszint (Közönséges fagyal)</w:t>
            </w:r>
          </w:p>
        </w:tc>
        <w:tc>
          <w:tcPr>
            <w:tcW w:w="1808" w:type="dxa"/>
          </w:tcPr>
          <w:p w14:paraId="69C8F2E0" w14:textId="5E01BCA9" w:rsidR="007D20F1" w:rsidRDefault="00801E2E" w:rsidP="00A107BF">
            <w:pPr>
              <w:jc w:val="center"/>
            </w:pPr>
            <w:r>
              <w:t>2500 m</w:t>
            </w:r>
            <w:r w:rsidRPr="00A107BF">
              <w:rPr>
                <w:vertAlign w:val="superscript"/>
              </w:rPr>
              <w:t>2</w:t>
            </w:r>
          </w:p>
        </w:tc>
        <w:tc>
          <w:tcPr>
            <w:tcW w:w="1808" w:type="dxa"/>
          </w:tcPr>
          <w:p w14:paraId="5D1A59C9" w14:textId="08E74F89" w:rsidR="007D20F1" w:rsidRDefault="00801E2E" w:rsidP="00A107BF">
            <w:pPr>
              <w:jc w:val="center"/>
            </w:pPr>
            <w:r>
              <w:t>1,80 kg/m</w:t>
            </w:r>
            <w:r w:rsidRPr="00A107BF">
              <w:rPr>
                <w:vertAlign w:val="superscript"/>
              </w:rPr>
              <w:t>2</w:t>
            </w:r>
            <w:r>
              <w:t>/év</w:t>
            </w:r>
          </w:p>
        </w:tc>
        <w:tc>
          <w:tcPr>
            <w:tcW w:w="1808" w:type="dxa"/>
          </w:tcPr>
          <w:p w14:paraId="56F3543A" w14:textId="2C030CB1" w:rsidR="007D20F1" w:rsidRDefault="007D20F1" w:rsidP="00A107BF">
            <w:pPr>
              <w:jc w:val="center"/>
            </w:pPr>
            <w:r>
              <w:t>4,500</w:t>
            </w:r>
          </w:p>
        </w:tc>
        <w:tc>
          <w:tcPr>
            <w:tcW w:w="1808" w:type="dxa"/>
          </w:tcPr>
          <w:p w14:paraId="4FF3179A" w14:textId="03C4938B" w:rsidR="007D20F1" w:rsidRDefault="007D20F1" w:rsidP="00A107BF">
            <w:pPr>
              <w:jc w:val="center"/>
            </w:pPr>
            <w:r>
              <w:t>35,44</w:t>
            </w:r>
          </w:p>
        </w:tc>
      </w:tr>
      <w:tr w:rsidR="007D20F1" w14:paraId="215B12A4" w14:textId="77777777" w:rsidTr="00A107BF">
        <w:tc>
          <w:tcPr>
            <w:tcW w:w="1808" w:type="dxa"/>
          </w:tcPr>
          <w:p w14:paraId="326C4222" w14:textId="6669A53A" w:rsidR="007D20F1" w:rsidRDefault="00801E2E" w:rsidP="00D81F41">
            <w:r w:rsidRPr="00801E2E">
              <w:t>Lágyszárú szint (Gyeptakaró)</w:t>
            </w:r>
          </w:p>
        </w:tc>
        <w:tc>
          <w:tcPr>
            <w:tcW w:w="1808" w:type="dxa"/>
          </w:tcPr>
          <w:p w14:paraId="7E31E5AB" w14:textId="58DB043D" w:rsidR="007D20F1" w:rsidRDefault="00801E2E" w:rsidP="00A107BF">
            <w:pPr>
              <w:jc w:val="center"/>
            </w:pPr>
            <w:r>
              <w:t>12705,33 m</w:t>
            </w:r>
            <w:r w:rsidRPr="00A107BF">
              <w:rPr>
                <w:vertAlign w:val="superscript"/>
              </w:rPr>
              <w:t>2</w:t>
            </w:r>
          </w:p>
        </w:tc>
        <w:tc>
          <w:tcPr>
            <w:tcW w:w="1808" w:type="dxa"/>
          </w:tcPr>
          <w:p w14:paraId="5B44D0B9" w14:textId="64D3ABC6" w:rsidR="007D20F1" w:rsidRDefault="00801E2E" w:rsidP="00A107BF">
            <w:pPr>
              <w:jc w:val="center"/>
            </w:pPr>
            <w:r>
              <w:t>0,35 kg/m</w:t>
            </w:r>
            <w:r w:rsidRPr="00A107BF">
              <w:rPr>
                <w:vertAlign w:val="superscript"/>
              </w:rPr>
              <w:t>2</w:t>
            </w:r>
            <w:r>
              <w:t>/év</w:t>
            </w:r>
          </w:p>
        </w:tc>
        <w:tc>
          <w:tcPr>
            <w:tcW w:w="1808" w:type="dxa"/>
          </w:tcPr>
          <w:p w14:paraId="7A082FEE" w14:textId="35572A84" w:rsidR="007D20F1" w:rsidRDefault="007D20F1" w:rsidP="00A107BF">
            <w:pPr>
              <w:jc w:val="center"/>
            </w:pPr>
            <w:r>
              <w:t>4,447</w:t>
            </w:r>
          </w:p>
        </w:tc>
        <w:tc>
          <w:tcPr>
            <w:tcW w:w="1808" w:type="dxa"/>
          </w:tcPr>
          <w:p w14:paraId="2723BECA" w14:textId="23720CA4" w:rsidR="007D20F1" w:rsidRDefault="007D20F1" w:rsidP="00A107BF">
            <w:pPr>
              <w:jc w:val="center"/>
            </w:pPr>
            <w:r>
              <w:t>35,03</w:t>
            </w:r>
          </w:p>
        </w:tc>
      </w:tr>
      <w:tr w:rsidR="007D20F1" w14:paraId="027AD483" w14:textId="77777777" w:rsidTr="00A107BF">
        <w:tc>
          <w:tcPr>
            <w:tcW w:w="1808" w:type="dxa"/>
          </w:tcPr>
          <w:p w14:paraId="3DE6ED74" w14:textId="01EB789E" w:rsidR="007D20F1" w:rsidRPr="00A107BF" w:rsidRDefault="00A107BF" w:rsidP="00D81F41">
            <w:pPr>
              <w:rPr>
                <w:b/>
                <w:bCs/>
              </w:rPr>
            </w:pPr>
            <w:r w:rsidRPr="00A107BF">
              <w:rPr>
                <w:b/>
                <w:bCs/>
              </w:rPr>
              <w:t>NÖVÉNYZETI ELNYELÉS ÖSSZESEN:</w:t>
            </w:r>
          </w:p>
        </w:tc>
        <w:tc>
          <w:tcPr>
            <w:tcW w:w="1808" w:type="dxa"/>
          </w:tcPr>
          <w:p w14:paraId="5F3046BE" w14:textId="6AE59141" w:rsidR="007D20F1" w:rsidRPr="00A107BF" w:rsidRDefault="00A107BF" w:rsidP="00A107BF">
            <w:pPr>
              <w:jc w:val="center"/>
              <w:rPr>
                <w:b/>
                <w:bCs/>
              </w:rPr>
            </w:pPr>
            <w:r w:rsidRPr="00A107BF">
              <w:rPr>
                <w:b/>
                <w:bCs/>
              </w:rPr>
              <w:t>15205,33 m</w:t>
            </w:r>
            <w:r w:rsidRPr="00A107BF">
              <w:rPr>
                <w:b/>
                <w:bCs/>
                <w:vertAlign w:val="superscript"/>
              </w:rPr>
              <w:t>2</w:t>
            </w:r>
          </w:p>
        </w:tc>
        <w:tc>
          <w:tcPr>
            <w:tcW w:w="1808" w:type="dxa"/>
          </w:tcPr>
          <w:p w14:paraId="5A16CB6D" w14:textId="77777777" w:rsidR="007D20F1" w:rsidRPr="00A107BF" w:rsidRDefault="007D20F1" w:rsidP="00A107BF">
            <w:pPr>
              <w:jc w:val="center"/>
              <w:rPr>
                <w:b/>
                <w:bCs/>
              </w:rPr>
            </w:pPr>
          </w:p>
        </w:tc>
        <w:tc>
          <w:tcPr>
            <w:tcW w:w="1808" w:type="dxa"/>
          </w:tcPr>
          <w:p w14:paraId="3786FDB9" w14:textId="30960A54" w:rsidR="007D20F1" w:rsidRPr="00A107BF" w:rsidRDefault="007D20F1" w:rsidP="00A107BF">
            <w:pPr>
              <w:jc w:val="center"/>
              <w:rPr>
                <w:b/>
                <w:bCs/>
              </w:rPr>
            </w:pPr>
            <w:r w:rsidRPr="00A107BF">
              <w:rPr>
                <w:b/>
                <w:bCs/>
              </w:rPr>
              <w:t>12,697</w:t>
            </w:r>
          </w:p>
        </w:tc>
        <w:tc>
          <w:tcPr>
            <w:tcW w:w="1808" w:type="dxa"/>
          </w:tcPr>
          <w:p w14:paraId="50C075FA" w14:textId="6ABA1EE3" w:rsidR="007D20F1" w:rsidRPr="00A107BF" w:rsidRDefault="007D20F1" w:rsidP="00A107BF">
            <w:pPr>
              <w:jc w:val="center"/>
              <w:rPr>
                <w:b/>
                <w:bCs/>
              </w:rPr>
            </w:pPr>
            <w:r w:rsidRPr="00A107BF">
              <w:rPr>
                <w:b/>
                <w:bCs/>
              </w:rPr>
              <w:t>100,00</w:t>
            </w:r>
          </w:p>
        </w:tc>
      </w:tr>
    </w:tbl>
    <w:p w14:paraId="79B8C215" w14:textId="1CC7EC2E" w:rsidR="007D20F1" w:rsidRDefault="007D20F1" w:rsidP="007D20F1">
      <w:pPr>
        <w:pStyle w:val="Kpalrs"/>
      </w:pPr>
      <w:r>
        <w:fldChar w:fldCharType="begin"/>
      </w:r>
      <w:r>
        <w:instrText xml:space="preserve"> SEQ táblázat \* ARABIC </w:instrText>
      </w:r>
      <w:r>
        <w:fldChar w:fldCharType="separate"/>
      </w:r>
      <w:r w:rsidR="00040813">
        <w:t>4</w:t>
      </w:r>
      <w:r>
        <w:fldChar w:fldCharType="end"/>
      </w:r>
      <w:r>
        <w:t xml:space="preserve">. táblázat: </w:t>
      </w:r>
      <w:r w:rsidRPr="007D20F1">
        <w:t>Összefoglaló táblázat – A növényzet éves ÜHG-megkötési mérlege</w:t>
      </w:r>
    </w:p>
    <w:p w14:paraId="3FEC0501" w14:textId="77777777" w:rsidR="00A13894" w:rsidRDefault="00A13894" w:rsidP="00A13894">
      <w:pPr>
        <w:pStyle w:val="Cmsor2"/>
      </w:pPr>
      <w:bookmarkStart w:id="60" w:name="_Toc231161126"/>
      <w:r w:rsidRPr="00A13894">
        <w:t>Éghajlatvédelmi konklúzió és a telepi ÜHG-mérleg egyenlege</w:t>
      </w:r>
      <w:bookmarkEnd w:id="60"/>
    </w:p>
    <w:p w14:paraId="2AD913F5" w14:textId="77777777" w:rsidR="00A13894" w:rsidRDefault="00A13894" w:rsidP="00D81F41">
      <w:r w:rsidRPr="00A13894">
        <w:t>A számszerűsített területi és biológiai számítások igazolják, hogy a tiszaszőlősi sertéstelep területén megvalósuló 1,5 hektáros, 3 szintes, szigorúan őshonos védőfásítás és zöldfelület-fejlesztés évente mindösszesen 12,697 tonna tiszta levegőből kivont szén-dioxidot képes tartósan megkötni és beépíteni a növényi biomasszába.</w:t>
      </w:r>
    </w:p>
    <w:p w14:paraId="3AF851CF" w14:textId="7BE0EF09" w:rsidR="000E0115" w:rsidRDefault="00A13894" w:rsidP="00D81F41">
      <w:r w:rsidRPr="00A13894">
        <w:t xml:space="preserve">Ha ezt az elnyelési kapacitást összevetjük a </w:t>
      </w:r>
      <w:r>
        <w:t>5</w:t>
      </w:r>
      <w:r w:rsidRPr="00A13894">
        <w:t>.3. pontban kiszámított teljes telephelyi fosszilis üzemeltetési és logisztikai kibocsátással (58,824 t CO</w:t>
      </w:r>
      <w:r w:rsidRPr="00A13894">
        <w:rPr>
          <w:vertAlign w:val="subscript"/>
        </w:rPr>
        <w:t>2eq</w:t>
      </w:r>
      <w:r w:rsidRPr="00A13894">
        <w:t>/év), megállapítható, hogy a szakszerűen telepített helyi zöldinfrastruktúra önmagában képes ellensúlyozni a telep közvetlen fosszilis szén-dioxid-terhelésének több mint 21,58%-át. Ez a barnamezős fásítási program – kiegészülve a tetőfelületi napelemes (PV) kapacitásokkal – biztosítja, hogy a projekt lokális ökológiai és ÜHG-mérlege hosszú távon is fenntartható legyen.</w:t>
      </w:r>
    </w:p>
    <w:p w14:paraId="3AB4C79F" w14:textId="5C735952" w:rsidR="00A422C2" w:rsidRDefault="00EF2EEE" w:rsidP="00EF2EEE">
      <w:pPr>
        <w:pStyle w:val="Cmsor1"/>
      </w:pPr>
      <w:bookmarkStart w:id="61" w:name="_Toc231161127"/>
      <w:r w:rsidRPr="00EF2EEE">
        <w:lastRenderedPageBreak/>
        <w:t>Összegzés</w:t>
      </w:r>
      <w:bookmarkEnd w:id="61"/>
    </w:p>
    <w:p w14:paraId="11B5044B" w14:textId="77777777" w:rsidR="00EF2EEE" w:rsidRPr="00EF2EEE" w:rsidRDefault="00EF2EEE" w:rsidP="00EF2EEE">
      <w:r w:rsidRPr="00EF2EEE">
        <w:t>A Tiszaszőlős 0244. és 0242/2 hrsz. alatti ingatlanokon tervezett sertéstelep és hígtrágyatároló létesítésének átfogó éghajlatvédelmi hatásvizsgálata számszerűsített adatokkal igazolja a beruházás hosszú távú energetikai és ökológiai fenntarthatóságát. A hatósági előírásoknak megfelelően elkészített ÜHG-leltár és adaptációs stratégia mérnöki mérlege az alábbi főbb megállapításokban összegezhető:</w:t>
      </w:r>
    </w:p>
    <w:p w14:paraId="687278CD" w14:textId="16A755CF" w:rsidR="00EF2EEE" w:rsidRPr="00EF2EEE" w:rsidRDefault="00EF2EEE" w:rsidP="00302F44">
      <w:r w:rsidRPr="00EF2EEE">
        <w:rPr>
          <w:b/>
          <w:bCs/>
        </w:rPr>
        <w:t>Zárt és ellenőrzött Scope 1 kibocsátási mérleg:</w:t>
      </w:r>
      <w:r w:rsidRPr="00EF2EEE">
        <w:t xml:space="preserve"> A létesítmény teljes körű üzemeltetési fázisára számított közvetlen üvegházhatású gázterhelés </w:t>
      </w:r>
      <w:r w:rsidRPr="00EF2EEE">
        <w:rPr>
          <w:b/>
          <w:bCs/>
        </w:rPr>
        <w:t>619,124 tonna CO</w:t>
      </w:r>
      <w:r w:rsidRPr="00EF2EEE">
        <w:rPr>
          <w:b/>
          <w:bCs/>
          <w:vertAlign w:val="subscript"/>
        </w:rPr>
        <w:t>2eq</w:t>
      </w:r>
      <w:r w:rsidRPr="00EF2EEE">
        <w:rPr>
          <w:b/>
          <w:bCs/>
        </w:rPr>
        <w:t>/év</w:t>
      </w:r>
      <w:r w:rsidRPr="00EF2EEE">
        <w:t xml:space="preserve">. A kibocsátási profil döntő része, </w:t>
      </w:r>
      <w:r w:rsidRPr="00EF2EEE">
        <w:rPr>
          <w:b/>
          <w:bCs/>
        </w:rPr>
        <w:t>90,50%-a</w:t>
      </w:r>
      <w:r w:rsidRPr="00EF2EEE">
        <w:t xml:space="preserve"> biogén eredetű (CH</w:t>
      </w:r>
      <w:r w:rsidRPr="00EF2EEE">
        <w:rPr>
          <w:vertAlign w:val="subscript"/>
        </w:rPr>
        <w:t>4</w:t>
      </w:r>
      <w:r w:rsidRPr="00EF2EEE">
        <w:t xml:space="preserve"> és N</w:t>
      </w:r>
      <w:r w:rsidRPr="00EF2EEE">
        <w:rPr>
          <w:vertAlign w:val="subscript"/>
        </w:rPr>
        <w:t>2</w:t>
      </w:r>
      <w:r w:rsidRPr="00EF2EEE">
        <w:t>O), amely a meglévő engedélyekkel és a nemzetközi IPCC/EMEP módszertanokkal teljes számszaki összhangban áll.</w:t>
      </w:r>
    </w:p>
    <w:p w14:paraId="0A913C39" w14:textId="77777777" w:rsidR="00EF2EEE" w:rsidRPr="00EF2EEE" w:rsidRDefault="00EF2EEE" w:rsidP="00302F44">
      <w:r w:rsidRPr="00EF2EEE">
        <w:rPr>
          <w:b/>
          <w:bCs/>
        </w:rPr>
        <w:t>Fosszilismentes alapüzem és energiahatékonyság:</w:t>
      </w:r>
      <w:r w:rsidRPr="00EF2EEE">
        <w:t xml:space="preserve"> A telephely folyamatos üzemű folyamatai (fűtés, hűtés, szellőztetés, vízkezelés) kizárólag villamosenergia-alapon nyugszanak, földgáz- vagy PB-gázhálózat nem épül ki. A gázolaj-felhasználáshoz kötődő fosszilis kibocsátás mindössze </w:t>
      </w:r>
      <w:r w:rsidRPr="00EF2EEE">
        <w:rPr>
          <w:b/>
          <w:bCs/>
        </w:rPr>
        <w:t>58,824 t/év (9,50%)</w:t>
      </w:r>
      <w:r w:rsidRPr="00EF2EEE">
        <w:t>, amely magában foglalja a P1 pontforrásként nevesített Bentley tetemégető, a P2 pontforrású biztonsági aggregátor és a belső mobil logisztika teljes körű, worst-case futásidővel számított éves üzemanyag-keretét.</w:t>
      </w:r>
    </w:p>
    <w:p w14:paraId="00C011D4" w14:textId="77777777" w:rsidR="00EF2EEE" w:rsidRPr="00EF2EEE" w:rsidRDefault="00EF2EEE" w:rsidP="00302F44">
      <w:r w:rsidRPr="00EF2EEE">
        <w:rPr>
          <w:b/>
          <w:bCs/>
        </w:rPr>
        <w:t>Forrásoldali mitigáció és technológiai zártság:</w:t>
      </w:r>
      <w:r w:rsidRPr="00EF2EEE">
        <w:t xml:space="preserve"> A hígtrágyakezelés során alkalmazott zárt, vákuumos rendszer, a külső körműtárgy rugalmas ponyvafedése, valamint a fázisos takarmányozás hatékonyan akadályozza meg a gázok kijutását. Ezt egészíti ki a BioAmp 300 automatizált rendszer FreeFlow™ baktériumkezelése, amely mikrobiológiai úton köti meg a nitrogént a folyadékfázisban, megakadályozva a dinitrogén-monoxid felszabadulását. A szántóföldi elhelyezés során alkalmazott saját Fliegl Individual Tridem tartálykocsik és a hozzájuk kapcsolt Maulwulf/SSG/GUG injektáló egységek révén a trágyalé közvetlenül a talajfelszín alá kerül, teljesen kizárva a hőség miatti felületi párolgási és emissziós veszteségeket.</w:t>
      </w:r>
    </w:p>
    <w:p w14:paraId="6378B18E" w14:textId="77777777" w:rsidR="00EF2EEE" w:rsidRPr="00EF2EEE" w:rsidRDefault="00EF2EEE" w:rsidP="00302F44">
      <w:r w:rsidRPr="00EF2EEE">
        <w:rPr>
          <w:b/>
          <w:bCs/>
        </w:rPr>
        <w:t>Rendszerszintű klímaadaptáció:</w:t>
      </w:r>
      <w:r w:rsidRPr="00EF2EEE">
        <w:t xml:space="preserve"> A projekt kiemelt rezilienciával bír a fokozódó nyári hőhullámokkal szemben az istállók PIR szendvicspaneles hőszigetelése és az automatizált evaporatív Cool-pad hűtőrendszerek révén. A Bentley 1000 AIS 064 Cyclone égetőmű üzemeltetése kettős klímavédelmi hasznot hajt: egyrészt kiváltja a távoli feldolgozóba történő nehézgépjárműves szállítást (jelentős Scope 3 logisztikai ÜHG-megtakarítás), másrészt azonnali helyszíni biológiai izolációt biztosít a melegedő éghajlat miatt terjedő állatjárványok (pl. ASP) kockázataival szemben.</w:t>
      </w:r>
    </w:p>
    <w:p w14:paraId="28406FA0" w14:textId="7AD59369" w:rsidR="00EF2EEE" w:rsidRPr="00EF2EEE" w:rsidRDefault="00EF2EEE" w:rsidP="00302F44">
      <w:r w:rsidRPr="00EF2EEE">
        <w:rPr>
          <w:b/>
          <w:bCs/>
        </w:rPr>
        <w:t>Pozitív LULUCF és növényszerkezeti mérleg:</w:t>
      </w:r>
      <w:r w:rsidRPr="00EF2EEE">
        <w:t xml:space="preserve"> A beruházás barnamezős jellege miatt értékes természetes szén-nyelő felületek nem vesznek el. A telephelyen megvalósuló </w:t>
      </w:r>
      <w:r w:rsidRPr="00EF2EEE">
        <w:rPr>
          <w:b/>
          <w:bCs/>
        </w:rPr>
        <w:t>15205,33 m²</w:t>
      </w:r>
      <w:r w:rsidRPr="00EF2EEE">
        <w:t xml:space="preserve"> kiterjedésű, sűrű, 3 szintes védősáv és zöldfelület-fejlesztés szigorúan őshonos és tájazonos fajok (Mezei juhar fasorok, Közönséges fagyal sávok és zárt gyeptakaró) alkalmazásával évente nettó </w:t>
      </w:r>
      <w:r w:rsidRPr="00EF2EEE">
        <w:rPr>
          <w:b/>
          <w:bCs/>
        </w:rPr>
        <w:t>12,697 tonna tiszta szén-dioxidot</w:t>
      </w:r>
      <w:r w:rsidRPr="00EF2EEE">
        <w:t xml:space="preserve"> köt meg a levegőből. Ez a helyi zöldinfrastruktúra önmagában képes semlegesíteni a telep teljes közvetlen fosszilis szén-dioxid-terhelésének </w:t>
      </w:r>
      <w:r w:rsidRPr="00EF2EEE">
        <w:rPr>
          <w:b/>
          <w:bCs/>
        </w:rPr>
        <w:t>21,58%-át</w:t>
      </w:r>
      <w:r w:rsidRPr="00EF2EEE">
        <w:t>, bizonyítva a projekt lokális fenntarthatóságát.</w:t>
      </w:r>
    </w:p>
    <w:p w14:paraId="6DD28237" w14:textId="5EE1D2EF" w:rsidR="00A422C2" w:rsidRDefault="00302F44" w:rsidP="00302F44">
      <w:pPr>
        <w:pStyle w:val="Cmsor1"/>
      </w:pPr>
      <w:bookmarkStart w:id="62" w:name="_Toc231161128"/>
      <w:r>
        <w:lastRenderedPageBreak/>
        <w:t>Szakértői értékelés</w:t>
      </w:r>
      <w:bookmarkEnd w:id="62"/>
    </w:p>
    <w:p w14:paraId="284A849C" w14:textId="78740A49" w:rsidR="00ED0F8B" w:rsidRPr="00ED0F8B" w:rsidRDefault="00ED0F8B" w:rsidP="00ED0F8B">
      <w:r w:rsidRPr="00ED0F8B">
        <w:t>A DR. FÜLÖP MÉNES Kft. tervezett beruházása a benyújtott műszaki és technológiai adatok alapján megfelel az Európai Unió és Magyarország hosszú távú klímavédelmi és energetikai stratégiái</w:t>
      </w:r>
      <w:r>
        <w:t>nak</w:t>
      </w:r>
      <w:r w:rsidRPr="00ED0F8B">
        <w:t>.</w:t>
      </w:r>
    </w:p>
    <w:p w14:paraId="4DCE2572" w14:textId="16BB84DD" w:rsidR="00ED0F8B" w:rsidRPr="00ED0F8B" w:rsidRDefault="00ED0F8B" w:rsidP="00ED0F8B">
      <w:r w:rsidRPr="00ED0F8B">
        <w:t>Az alábbi megfelelőségi mátrix igazolja a technológiai megoldások és a szakpolitikai elvárások közötti közvetlen szinergiát:</w:t>
      </w:r>
    </w:p>
    <w:tbl>
      <w:tblPr>
        <w:tblStyle w:val="Fekvtblzat"/>
        <w:tblW w:w="0" w:type="auto"/>
        <w:tblLook w:val="04A0" w:firstRow="1" w:lastRow="0" w:firstColumn="1" w:lastColumn="0" w:noHBand="0" w:noVBand="1"/>
      </w:tblPr>
      <w:tblGrid>
        <w:gridCol w:w="3014"/>
        <w:gridCol w:w="4201"/>
        <w:gridCol w:w="1825"/>
      </w:tblGrid>
      <w:tr w:rsidR="00ED0F8B" w14:paraId="1AC02916" w14:textId="77777777" w:rsidTr="00ED0F8B">
        <w:trPr>
          <w:cnfStyle w:val="100000000000" w:firstRow="1" w:lastRow="0" w:firstColumn="0" w:lastColumn="0" w:oddVBand="0" w:evenVBand="0" w:oddHBand="0" w:evenHBand="0" w:firstRowFirstColumn="0" w:firstRowLastColumn="0" w:lastRowFirstColumn="0" w:lastRowLastColumn="0"/>
        </w:trPr>
        <w:tc>
          <w:tcPr>
            <w:tcW w:w="3014" w:type="dxa"/>
          </w:tcPr>
          <w:p w14:paraId="1A23FCB7" w14:textId="79BC5510" w:rsidR="00ED0F8B" w:rsidRDefault="00ED0F8B" w:rsidP="00552D5D">
            <w:pPr>
              <w:jc w:val="center"/>
            </w:pPr>
            <w:r w:rsidRPr="00ED0F8B">
              <w:t>EU / Hazai Klímastratégiai Célkitűzés</w:t>
            </w:r>
          </w:p>
        </w:tc>
        <w:tc>
          <w:tcPr>
            <w:tcW w:w="4201" w:type="dxa"/>
          </w:tcPr>
          <w:p w14:paraId="71A2AECD" w14:textId="2DC08015" w:rsidR="00ED0F8B" w:rsidRDefault="00ED0F8B" w:rsidP="00552D5D">
            <w:pPr>
              <w:jc w:val="center"/>
            </w:pPr>
            <w:r w:rsidRPr="00ED0F8B">
              <w:t>Telephelyi Technológiai Megfelelőség és Megoldás</w:t>
            </w:r>
          </w:p>
        </w:tc>
        <w:tc>
          <w:tcPr>
            <w:tcW w:w="1825" w:type="dxa"/>
          </w:tcPr>
          <w:p w14:paraId="0918E2C4" w14:textId="2811477E" w:rsidR="00ED0F8B" w:rsidRDefault="00ED0F8B" w:rsidP="00552D5D">
            <w:pPr>
              <w:jc w:val="center"/>
            </w:pPr>
            <w:r w:rsidRPr="00ED0F8B">
              <w:t>Stratégiai Értékelés</w:t>
            </w:r>
          </w:p>
        </w:tc>
      </w:tr>
      <w:tr w:rsidR="00ED0F8B" w14:paraId="47CA690A" w14:textId="77777777" w:rsidTr="00ED0F8B">
        <w:tc>
          <w:tcPr>
            <w:tcW w:w="3014" w:type="dxa"/>
          </w:tcPr>
          <w:p w14:paraId="39A16121" w14:textId="77777777" w:rsidR="00ED0F8B" w:rsidRPr="00ED0F8B" w:rsidRDefault="00ED0F8B" w:rsidP="00ED0F8B">
            <w:r w:rsidRPr="00ED0F8B">
              <w:rPr>
                <w:b/>
                <w:bCs/>
              </w:rPr>
              <w:t>Klímasemlegesség 2050 &amp; "Fit for 55"</w:t>
            </w:r>
          </w:p>
          <w:p w14:paraId="58F4E717" w14:textId="2144584A" w:rsidR="00ED0F8B" w:rsidRDefault="00ED0F8B" w:rsidP="00ED0F8B">
            <w:r w:rsidRPr="00ED0F8B">
              <w:rPr>
                <w:i/>
                <w:iCs/>
              </w:rPr>
              <w:t>(Európai Klímatörvény / Hazai Nemzeti Tiszta Fejlődési Stratégia - NTFS)</w:t>
            </w:r>
          </w:p>
        </w:tc>
        <w:tc>
          <w:tcPr>
            <w:tcW w:w="4201" w:type="dxa"/>
          </w:tcPr>
          <w:p w14:paraId="46523CBD" w14:textId="366B6CF2" w:rsidR="00ED0F8B" w:rsidRDefault="001B0577" w:rsidP="00051313">
            <w:pPr>
              <w:jc w:val="center"/>
            </w:pPr>
            <w:r w:rsidRPr="001B0577">
              <w:rPr>
                <w:b/>
                <w:bCs/>
              </w:rPr>
              <w:t>Fosszilismentes alapüzem:</w:t>
            </w:r>
            <w:r w:rsidRPr="001B0577">
              <w:t xml:space="preserve"> A folyamatos telepi funkciók (szellőztetés, takarmányozás, vízellátás, szociális terek hőtartása) földgáz és PB-gáz kizárásával, </w:t>
            </w:r>
            <w:r w:rsidRPr="001B0577">
              <w:rPr>
                <w:b/>
                <w:bCs/>
              </w:rPr>
              <w:t>120 kW-os szükségaggregátort leszámítva tisztán villamosenergia-platformon</w:t>
            </w:r>
            <w:r w:rsidRPr="001B0577">
              <w:t xml:space="preserve"> üzemelnek. A tervezett tetőfelületi napelemes (PV) kapacitás közvetlenül váltja ki a hálózati (Scope 2) energiát.</w:t>
            </w:r>
          </w:p>
        </w:tc>
        <w:tc>
          <w:tcPr>
            <w:tcW w:w="1825" w:type="dxa"/>
          </w:tcPr>
          <w:p w14:paraId="5BF10144" w14:textId="15751889" w:rsidR="00ED0F8B" w:rsidRDefault="00051313" w:rsidP="00051313">
            <w:pPr>
              <w:jc w:val="center"/>
            </w:pPr>
            <w:r>
              <w:t>KIVÁLÓ</w:t>
            </w:r>
          </w:p>
        </w:tc>
      </w:tr>
      <w:tr w:rsidR="00ED0F8B" w14:paraId="6FAC978E" w14:textId="77777777" w:rsidTr="00ED0F8B">
        <w:tc>
          <w:tcPr>
            <w:tcW w:w="3014" w:type="dxa"/>
          </w:tcPr>
          <w:p w14:paraId="5A1C186F" w14:textId="15314B15" w:rsidR="001B0577" w:rsidRPr="001B0577" w:rsidRDefault="001B0577" w:rsidP="001B0577">
            <w:r w:rsidRPr="001B0577">
              <w:rPr>
                <w:b/>
                <w:bCs/>
              </w:rPr>
              <w:t>EU Metánstratégia (Methane Strategy)</w:t>
            </w:r>
          </w:p>
          <w:p w14:paraId="3B2C8E95" w14:textId="1F1A19FB" w:rsidR="00ED0F8B" w:rsidRDefault="001B0577" w:rsidP="001B0577">
            <w:r w:rsidRPr="001B0577">
              <w:rPr>
                <w:i/>
                <w:iCs/>
              </w:rPr>
              <w:t>(Mezőgazdasági ÜHG-kibocsátás csökkentése a forrásnál)</w:t>
            </w:r>
          </w:p>
        </w:tc>
        <w:tc>
          <w:tcPr>
            <w:tcW w:w="4201" w:type="dxa"/>
          </w:tcPr>
          <w:p w14:paraId="3766BDD3" w14:textId="707BBA79" w:rsidR="00ED0F8B" w:rsidRDefault="001B0577" w:rsidP="00051313">
            <w:pPr>
              <w:jc w:val="center"/>
            </w:pPr>
            <w:r w:rsidRPr="001B0577">
              <w:rPr>
                <w:b/>
                <w:bCs/>
              </w:rPr>
              <w:t>Zárt trágyamenedzsment:</w:t>
            </w:r>
            <w:r w:rsidRPr="001B0577">
              <w:t xml:space="preserve"> Vákuumos, szelepes istállócsatornák és a külső 1500 m³-es tározó rugalmas ponyvafedése fizikai gátat képez a metán ($CH_4$) atmoszférába jutása előtt. A fázisos, alacsony nyersfehérje-tartalmú takarmányozás forrásoldalon minimalizálja az ÜHG-prekurzorok képződését.</w:t>
            </w:r>
          </w:p>
        </w:tc>
        <w:tc>
          <w:tcPr>
            <w:tcW w:w="1825" w:type="dxa"/>
          </w:tcPr>
          <w:p w14:paraId="7B8D1D5E" w14:textId="55949D47" w:rsidR="00ED0F8B" w:rsidRDefault="00051313" w:rsidP="00051313">
            <w:pPr>
              <w:jc w:val="center"/>
            </w:pPr>
            <w:r>
              <w:t>KIVÁLÓ</w:t>
            </w:r>
          </w:p>
        </w:tc>
      </w:tr>
      <w:tr w:rsidR="00ED0F8B" w14:paraId="08DAD8E5" w14:textId="77777777" w:rsidTr="00ED0F8B">
        <w:tc>
          <w:tcPr>
            <w:tcW w:w="3014" w:type="dxa"/>
          </w:tcPr>
          <w:p w14:paraId="4A225205" w14:textId="50FE3A03" w:rsidR="001B0577" w:rsidRPr="001B0577" w:rsidRDefault="001B0577" w:rsidP="001B0577">
            <w:r w:rsidRPr="001B0577">
              <w:rPr>
                <w:b/>
                <w:bCs/>
              </w:rPr>
              <w:t>Körforgásos Gazdaság Akcióterv</w:t>
            </w:r>
          </w:p>
          <w:p w14:paraId="4B3F1EE4" w14:textId="04B5697D" w:rsidR="00ED0F8B" w:rsidRDefault="001B0577" w:rsidP="00552D5D">
            <w:r w:rsidRPr="001B0577">
              <w:rPr>
                <w:i/>
                <w:iCs/>
              </w:rPr>
              <w:t>(Műtrágya-helyettesítés és tápanyag-visszaforgatás)</w:t>
            </w:r>
          </w:p>
        </w:tc>
        <w:tc>
          <w:tcPr>
            <w:tcW w:w="4201" w:type="dxa"/>
          </w:tcPr>
          <w:p w14:paraId="4F90F7DB" w14:textId="13FD992B" w:rsidR="00ED0F8B" w:rsidRDefault="001B0577" w:rsidP="00051313">
            <w:pPr>
              <w:jc w:val="center"/>
            </w:pPr>
            <w:r w:rsidRPr="001B0577">
              <w:rPr>
                <w:b/>
                <w:bCs/>
              </w:rPr>
              <w:t>Precíziós szántóföldi injektálás:</w:t>
            </w:r>
            <w:r w:rsidRPr="001B0577">
              <w:t xml:space="preserve"> A saját Fliegl Individual Tridem tartálykocsikkal és Maulwulf/SSG/GUG injektáló egységekkel a hígtrágya a talajfelszín alá (5–10 cm) kerül. Ez kiváltja a fosszilis bázisú műtrágyák használatát, miközben a BioAmp 300 baktériumkezelés a nitrogént ammónium-ion formájában rögzíti, megszüntetve a felületi párolgási dinitrogén-monoxid (</w:t>
            </w:r>
            <w:r>
              <w:t>N</w:t>
            </w:r>
            <w:r w:rsidRPr="001B0577">
              <w:rPr>
                <w:vertAlign w:val="subscript"/>
              </w:rPr>
              <w:t>2</w:t>
            </w:r>
            <w:r>
              <w:t>O</w:t>
            </w:r>
            <w:r w:rsidRPr="001B0577">
              <w:t>) és ammónia veszteséget.</w:t>
            </w:r>
          </w:p>
        </w:tc>
        <w:tc>
          <w:tcPr>
            <w:tcW w:w="1825" w:type="dxa"/>
          </w:tcPr>
          <w:p w14:paraId="07815D09" w14:textId="73C67C86" w:rsidR="00ED0F8B" w:rsidRDefault="00051313" w:rsidP="00051313">
            <w:pPr>
              <w:jc w:val="center"/>
            </w:pPr>
            <w:r>
              <w:t>KIVÁLÓ</w:t>
            </w:r>
          </w:p>
        </w:tc>
      </w:tr>
      <w:tr w:rsidR="00ED0F8B" w14:paraId="7CBFFE20" w14:textId="77777777" w:rsidTr="00ED0F8B">
        <w:tc>
          <w:tcPr>
            <w:tcW w:w="3014" w:type="dxa"/>
          </w:tcPr>
          <w:p w14:paraId="10502E0A" w14:textId="47B90901" w:rsidR="001B0577" w:rsidRPr="001B0577" w:rsidRDefault="001B0577" w:rsidP="001B0577">
            <w:r w:rsidRPr="001B0577">
              <w:rPr>
                <w:b/>
                <w:bCs/>
              </w:rPr>
              <w:t>Logisztikai Karbonlábnyom-redukció</w:t>
            </w:r>
          </w:p>
          <w:p w14:paraId="4EBF8CA0" w14:textId="209B5670" w:rsidR="00ED0F8B" w:rsidRDefault="001B0577" w:rsidP="001B0577">
            <w:r w:rsidRPr="001B0577">
              <w:rPr>
                <w:i/>
                <w:iCs/>
              </w:rPr>
              <w:t>(Közúti teherszállítás dekarbonizációja)</w:t>
            </w:r>
          </w:p>
        </w:tc>
        <w:tc>
          <w:tcPr>
            <w:tcW w:w="4201" w:type="dxa"/>
          </w:tcPr>
          <w:p w14:paraId="2582C240" w14:textId="7F1CD73E" w:rsidR="00ED0F8B" w:rsidRDefault="006809D2" w:rsidP="00051313">
            <w:pPr>
              <w:jc w:val="center"/>
            </w:pPr>
            <w:r w:rsidRPr="006809D2">
              <w:rPr>
                <w:b/>
                <w:bCs/>
              </w:rPr>
              <w:t>Helyszíni Bentley ártalmatlanítás:</w:t>
            </w:r>
            <w:r w:rsidRPr="006809D2">
              <w:t xml:space="preserve"> A P1 pontforrásként nevesített Bentley 1000 AIS 064 Cyclone tetemégető helyi üzemeltetése (1053 h/év) teljes mértékben szükségtelenné teszi a hulladékok távoli (pl. ATEV) feldolgozóba szállítását. Ez </w:t>
            </w:r>
            <w:r w:rsidRPr="006809D2">
              <w:lastRenderedPageBreak/>
              <w:t>regionális szinten jelentős közvetett közúti szállítási (Scope 3) ÜHG-kibocsátást takarít meg.</w:t>
            </w:r>
          </w:p>
        </w:tc>
        <w:tc>
          <w:tcPr>
            <w:tcW w:w="1825" w:type="dxa"/>
          </w:tcPr>
          <w:p w14:paraId="2462C8D9" w14:textId="60FC8871" w:rsidR="00ED0F8B" w:rsidRDefault="00051313" w:rsidP="00051313">
            <w:pPr>
              <w:jc w:val="center"/>
            </w:pPr>
            <w:r>
              <w:lastRenderedPageBreak/>
              <w:t>KIVÁLÓ</w:t>
            </w:r>
          </w:p>
        </w:tc>
      </w:tr>
      <w:tr w:rsidR="001B0577" w14:paraId="10377C45" w14:textId="77777777" w:rsidTr="00ED0F8B">
        <w:tc>
          <w:tcPr>
            <w:tcW w:w="3014" w:type="dxa"/>
          </w:tcPr>
          <w:p w14:paraId="5923F0E0" w14:textId="0C60F79A" w:rsidR="001B0577" w:rsidRPr="001B0577" w:rsidRDefault="001B0577" w:rsidP="001B0577">
            <w:r w:rsidRPr="001B0577">
              <w:rPr>
                <w:b/>
                <w:bCs/>
              </w:rPr>
              <w:t>LULUCF Szénmegkötési Irányelvek</w:t>
            </w:r>
          </w:p>
          <w:p w14:paraId="2E3E3C43" w14:textId="7F0784BE" w:rsidR="001B0577" w:rsidRDefault="001B0577" w:rsidP="001B0577">
            <w:r w:rsidRPr="001B0577">
              <w:rPr>
                <w:i/>
                <w:iCs/>
              </w:rPr>
              <w:t>(A földhasználati ágazat szén-nyelő kapacitásának növelése)</w:t>
            </w:r>
          </w:p>
        </w:tc>
        <w:tc>
          <w:tcPr>
            <w:tcW w:w="4201" w:type="dxa"/>
          </w:tcPr>
          <w:p w14:paraId="249AA458" w14:textId="41617CF7" w:rsidR="001B0577" w:rsidRDefault="006809D2" w:rsidP="00051313">
            <w:pPr>
              <w:jc w:val="center"/>
            </w:pPr>
            <w:r w:rsidRPr="006809D2">
              <w:rPr>
                <w:b/>
                <w:bCs/>
              </w:rPr>
              <w:t>Tájazonos többszintes védőfásítás:</w:t>
            </w:r>
            <w:r w:rsidRPr="006809D2">
              <w:t xml:space="preserve"> A telephely belső és határterületein megvalósuló </w:t>
            </w:r>
            <w:r w:rsidRPr="006809D2">
              <w:rPr>
                <w:b/>
                <w:bCs/>
              </w:rPr>
              <w:t>15 205,33 m²</w:t>
            </w:r>
            <w:r w:rsidRPr="006809D2">
              <w:t xml:space="preserve"> aktív zöldfelület-fejlesztés szigorúan őshonos és nem-inváziós fajokra épül (150 db Mezei juhar sorfa, 2500 m² Közönséges fagyal cserjesáv és zárt gyep). A növényzet évente nettó </w:t>
            </w:r>
            <w:r w:rsidRPr="006809D2">
              <w:rPr>
                <w:b/>
                <w:bCs/>
              </w:rPr>
              <w:t>12,697 tonna tiszta CO</w:t>
            </w:r>
            <w:r w:rsidRPr="006809D2">
              <w:rPr>
                <w:rFonts w:ascii="Cambria Math" w:hAnsi="Cambria Math" w:cs="Cambria Math"/>
                <w:b/>
                <w:bCs/>
              </w:rPr>
              <w:t>₂</w:t>
            </w:r>
            <w:r w:rsidRPr="006809D2">
              <w:rPr>
                <w:b/>
                <w:bCs/>
              </w:rPr>
              <w:t>-t von ki a leveg</w:t>
            </w:r>
            <w:r w:rsidRPr="006809D2">
              <w:rPr>
                <w:rFonts w:cs="Garamond"/>
                <w:b/>
                <w:bCs/>
              </w:rPr>
              <w:t>ő</w:t>
            </w:r>
            <w:r w:rsidRPr="006809D2">
              <w:rPr>
                <w:b/>
                <w:bCs/>
              </w:rPr>
              <w:t>b</w:t>
            </w:r>
            <w:r w:rsidRPr="006809D2">
              <w:rPr>
                <w:rFonts w:cs="Garamond"/>
                <w:b/>
                <w:bCs/>
              </w:rPr>
              <w:t>ő</w:t>
            </w:r>
            <w:r w:rsidRPr="006809D2">
              <w:rPr>
                <w:b/>
                <w:bCs/>
              </w:rPr>
              <w:t>l</w:t>
            </w:r>
            <w:r w:rsidRPr="006809D2">
              <w:t xml:space="preserve">, ami önmagában kompenzálja a teljes telepi fosszilis gázolaj-égetés (58,824 t/év) több mint </w:t>
            </w:r>
            <w:r w:rsidRPr="006809D2">
              <w:rPr>
                <w:b/>
                <w:bCs/>
              </w:rPr>
              <w:t>21,58%-át</w:t>
            </w:r>
            <w:r w:rsidRPr="006809D2">
              <w:t>.</w:t>
            </w:r>
          </w:p>
        </w:tc>
        <w:tc>
          <w:tcPr>
            <w:tcW w:w="1825" w:type="dxa"/>
          </w:tcPr>
          <w:p w14:paraId="5B9F7AD1" w14:textId="60E8F69E" w:rsidR="001B0577" w:rsidRDefault="00051313" w:rsidP="00051313">
            <w:pPr>
              <w:jc w:val="center"/>
            </w:pPr>
            <w:r>
              <w:t>KIVÁLÓ</w:t>
            </w:r>
          </w:p>
        </w:tc>
      </w:tr>
      <w:tr w:rsidR="00ED0F8B" w14:paraId="13ABECEE" w14:textId="77777777" w:rsidTr="00ED0F8B">
        <w:tc>
          <w:tcPr>
            <w:tcW w:w="3014" w:type="dxa"/>
          </w:tcPr>
          <w:p w14:paraId="30C3ACAE" w14:textId="77777777" w:rsidR="001B0577" w:rsidRPr="001B0577" w:rsidRDefault="001B0577" w:rsidP="001B0577">
            <w:r w:rsidRPr="001B0577">
              <w:rPr>
                <w:b/>
                <w:bCs/>
              </w:rPr>
              <w:t>Nemzeti Alkalmazkodási Stratégia (NAS)</w:t>
            </w:r>
          </w:p>
          <w:p w14:paraId="6C8514E6" w14:textId="5DFDCED5" w:rsidR="00ED0F8B" w:rsidRDefault="001B0577" w:rsidP="001B0577">
            <w:r w:rsidRPr="001B0577">
              <w:rPr>
                <w:i/>
                <w:iCs/>
              </w:rPr>
              <w:t>(Klímaadaptáció, hőstressz és biológiai biztonság)</w:t>
            </w:r>
          </w:p>
        </w:tc>
        <w:tc>
          <w:tcPr>
            <w:tcW w:w="4201" w:type="dxa"/>
          </w:tcPr>
          <w:p w14:paraId="487F9E63" w14:textId="041FF800" w:rsidR="00ED0F8B" w:rsidRDefault="006809D2" w:rsidP="00051313">
            <w:pPr>
              <w:jc w:val="center"/>
            </w:pPr>
            <w:r w:rsidRPr="006809D2">
              <w:rPr>
                <w:b/>
                <w:bCs/>
              </w:rPr>
              <w:t>Műszaki és biológiai reziliencia:</w:t>
            </w:r>
            <w:r w:rsidRPr="006809D2">
              <w:t xml:space="preserve"> Az istállók zárt PIR szendvicspaneles hőszigetelése és az automatizált Big Dutchman evaporatív Cool-pad hűtőrendszerek garantálják a mikroklíma-védelmet a fokozódó nyári hőhullámok alatt. A Bentley égetőmű pedig azonnali helyszíni izolációt biztosít az enyhe telek és a hőség miatt terjedő állatjárványok (pl. ASP) kockázataival szemben.</w:t>
            </w:r>
          </w:p>
        </w:tc>
        <w:tc>
          <w:tcPr>
            <w:tcW w:w="1825" w:type="dxa"/>
          </w:tcPr>
          <w:p w14:paraId="62EC05EB" w14:textId="646A5917" w:rsidR="00ED0F8B" w:rsidRDefault="00051313" w:rsidP="00051313">
            <w:pPr>
              <w:jc w:val="center"/>
            </w:pPr>
            <w:r>
              <w:t>KIVÁLÓ</w:t>
            </w:r>
          </w:p>
        </w:tc>
      </w:tr>
    </w:tbl>
    <w:p w14:paraId="4E92E16B" w14:textId="06EB1405" w:rsidR="00051313" w:rsidRDefault="00051313" w:rsidP="00051313">
      <w:pPr>
        <w:pStyle w:val="Kpalrs"/>
      </w:pPr>
      <w:r>
        <w:fldChar w:fldCharType="begin"/>
      </w:r>
      <w:r>
        <w:instrText xml:space="preserve"> SEQ táblázat \* ARABIC </w:instrText>
      </w:r>
      <w:r>
        <w:fldChar w:fldCharType="separate"/>
      </w:r>
      <w:r w:rsidR="00040813">
        <w:t>5</w:t>
      </w:r>
      <w:r>
        <w:fldChar w:fldCharType="end"/>
      </w:r>
      <w:r>
        <w:t>. táblázat: Szakértői összefoglaló</w:t>
      </w:r>
    </w:p>
    <w:p w14:paraId="4812B362" w14:textId="7EDB6FA9" w:rsidR="00F24ABA" w:rsidRDefault="00051313" w:rsidP="00D81F41">
      <w:r>
        <w:t>A</w:t>
      </w:r>
      <w:r w:rsidRPr="00051313">
        <w:t>z alábbi négyfokozatú skála alapján minősíthető a mezőgazdasági üzemek klímavédelmi megfelelősége:</w:t>
      </w:r>
    </w:p>
    <w:tbl>
      <w:tblPr>
        <w:tblStyle w:val="Fekvtblzat"/>
        <w:tblW w:w="0" w:type="auto"/>
        <w:tblLook w:val="04A0" w:firstRow="1" w:lastRow="0" w:firstColumn="1" w:lastColumn="0" w:noHBand="0" w:noVBand="1"/>
      </w:tblPr>
      <w:tblGrid>
        <w:gridCol w:w="1807"/>
        <w:gridCol w:w="1807"/>
        <w:gridCol w:w="1810"/>
        <w:gridCol w:w="1808"/>
        <w:gridCol w:w="1808"/>
      </w:tblGrid>
      <w:tr w:rsidR="002A0051" w14:paraId="174556C3" w14:textId="77777777" w:rsidTr="00877884">
        <w:trPr>
          <w:cnfStyle w:val="100000000000" w:firstRow="1" w:lastRow="0" w:firstColumn="0" w:lastColumn="0" w:oddVBand="0" w:evenVBand="0" w:oddHBand="0" w:evenHBand="0" w:firstRowFirstColumn="0" w:firstRowLastColumn="0" w:lastRowFirstColumn="0" w:lastRowLastColumn="0"/>
        </w:trPr>
        <w:tc>
          <w:tcPr>
            <w:tcW w:w="1807" w:type="dxa"/>
          </w:tcPr>
          <w:p w14:paraId="6EC0DD86" w14:textId="7D2CE6DC" w:rsidR="002A0051" w:rsidRPr="00877884" w:rsidRDefault="002A0051" w:rsidP="00877884">
            <w:pPr>
              <w:spacing w:after="0"/>
              <w:jc w:val="center"/>
              <w:rPr>
                <w:b w:val="0"/>
                <w:bCs/>
              </w:rPr>
            </w:pPr>
            <w:r w:rsidRPr="00877884">
              <w:rPr>
                <w:rStyle w:val="Kiemels2"/>
                <w:b/>
                <w:bCs w:val="0"/>
              </w:rPr>
              <w:t>Értékelési szint</w:t>
            </w:r>
          </w:p>
        </w:tc>
        <w:tc>
          <w:tcPr>
            <w:tcW w:w="1807" w:type="dxa"/>
          </w:tcPr>
          <w:p w14:paraId="77FF550A" w14:textId="688DE765" w:rsidR="002A0051" w:rsidRDefault="002A0051" w:rsidP="00877884">
            <w:pPr>
              <w:jc w:val="center"/>
            </w:pPr>
            <w:r w:rsidRPr="002A0051">
              <w:t>Energetika és Fosszilis Energiahasználat</w:t>
            </w:r>
          </w:p>
        </w:tc>
        <w:tc>
          <w:tcPr>
            <w:tcW w:w="1810" w:type="dxa"/>
          </w:tcPr>
          <w:p w14:paraId="196E481D" w14:textId="1C6E0D82" w:rsidR="002A0051" w:rsidRDefault="002A0051" w:rsidP="00877884">
            <w:pPr>
              <w:jc w:val="center"/>
            </w:pPr>
            <w:r w:rsidRPr="002A0051">
              <w:t>Technológiai Gázemisszió (CH</w:t>
            </w:r>
            <w:r w:rsidRPr="002A0051">
              <w:rPr>
                <w:vertAlign w:val="subscript"/>
              </w:rPr>
              <w:t>4</w:t>
            </w:r>
            <w:r w:rsidRPr="002A0051">
              <w:t>, N</w:t>
            </w:r>
            <w:r w:rsidRPr="002A0051">
              <w:rPr>
                <w:vertAlign w:val="subscript"/>
              </w:rPr>
              <w:t>2</w:t>
            </w:r>
            <w:r w:rsidRPr="002A0051">
              <w:t>O, NH</w:t>
            </w:r>
            <w:r w:rsidRPr="002A0051">
              <w:rPr>
                <w:vertAlign w:val="subscript"/>
              </w:rPr>
              <w:t>3</w:t>
            </w:r>
            <w:r w:rsidRPr="002A0051">
              <w:t>) Mitigáció</w:t>
            </w:r>
          </w:p>
        </w:tc>
        <w:tc>
          <w:tcPr>
            <w:tcW w:w="1808" w:type="dxa"/>
          </w:tcPr>
          <w:p w14:paraId="36D12E2B" w14:textId="6DC933E7" w:rsidR="002A0051" w:rsidRDefault="002A0051" w:rsidP="00877884">
            <w:pPr>
              <w:jc w:val="center"/>
            </w:pPr>
            <w:r w:rsidRPr="002A0051">
              <w:t>Klímaadaptáció és Járványvédelem (Reziliencia)</w:t>
            </w:r>
          </w:p>
        </w:tc>
        <w:tc>
          <w:tcPr>
            <w:tcW w:w="1808" w:type="dxa"/>
          </w:tcPr>
          <w:p w14:paraId="11E4F2DA" w14:textId="61560994" w:rsidR="002A0051" w:rsidRDefault="00877884" w:rsidP="00877884">
            <w:pPr>
              <w:jc w:val="center"/>
            </w:pPr>
            <w:r w:rsidRPr="00877884">
              <w:t>Helyi CO</w:t>
            </w:r>
            <w:r w:rsidRPr="00877884">
              <w:rPr>
                <w:rFonts w:ascii="Cambria Math" w:hAnsi="Cambria Math" w:cs="Cambria Math"/>
              </w:rPr>
              <w:t>₂</w:t>
            </w:r>
            <w:r w:rsidRPr="00877884">
              <w:t>-elnyel</w:t>
            </w:r>
            <w:r w:rsidRPr="00877884">
              <w:rPr>
                <w:rFonts w:cs="Garamond"/>
              </w:rPr>
              <w:t>é</w:t>
            </w:r>
            <w:r w:rsidRPr="00877884">
              <w:t xml:space="preserve">s (LULUCF </w:t>
            </w:r>
            <w:r w:rsidRPr="00877884">
              <w:rPr>
                <w:rFonts w:cs="Garamond"/>
              </w:rPr>
              <w:t>é</w:t>
            </w:r>
            <w:r w:rsidRPr="00877884">
              <w:t>s T</w:t>
            </w:r>
            <w:r w:rsidRPr="00877884">
              <w:rPr>
                <w:rFonts w:cs="Garamond"/>
              </w:rPr>
              <w:t>á</w:t>
            </w:r>
            <w:r w:rsidRPr="00877884">
              <w:t>jv</w:t>
            </w:r>
            <w:r w:rsidRPr="00877884">
              <w:rPr>
                <w:rFonts w:cs="Garamond"/>
              </w:rPr>
              <w:t>é</w:t>
            </w:r>
            <w:r w:rsidRPr="00877884">
              <w:t>delem)</w:t>
            </w:r>
          </w:p>
        </w:tc>
      </w:tr>
      <w:tr w:rsidR="002A0051" w14:paraId="713BFE14" w14:textId="77777777" w:rsidTr="00877884">
        <w:tc>
          <w:tcPr>
            <w:tcW w:w="1807" w:type="dxa"/>
          </w:tcPr>
          <w:p w14:paraId="5A1E27D7" w14:textId="62AA4656" w:rsidR="002A0051" w:rsidRPr="00877884" w:rsidRDefault="00877884" w:rsidP="00D81F41">
            <w:pPr>
              <w:rPr>
                <w:sz w:val="20"/>
                <w:szCs w:val="20"/>
              </w:rPr>
            </w:pPr>
            <w:r w:rsidRPr="00877884">
              <w:rPr>
                <w:sz w:val="20"/>
                <w:szCs w:val="20"/>
              </w:rPr>
              <w:t>NEM MEGFELELT</w:t>
            </w:r>
          </w:p>
        </w:tc>
        <w:tc>
          <w:tcPr>
            <w:tcW w:w="1807" w:type="dxa"/>
          </w:tcPr>
          <w:p w14:paraId="51EB5B5D" w14:textId="1885681C" w:rsidR="002A0051" w:rsidRPr="00877884" w:rsidRDefault="00F24ABA" w:rsidP="00D81F41">
            <w:pPr>
              <w:rPr>
                <w:sz w:val="16"/>
                <w:szCs w:val="16"/>
              </w:rPr>
            </w:pPr>
            <w:r w:rsidRPr="00F24ABA">
              <w:rPr>
                <w:sz w:val="16"/>
                <w:szCs w:val="16"/>
              </w:rPr>
              <w:t>Központi fosszilis (földgáz/szén/olaj) alapú fűtési és technológiai rendszerek. Alacsony hatásfokú gépészet, nincs megújuló energia, magas direkt CO</w:t>
            </w:r>
            <w:r w:rsidRPr="00F24ABA">
              <w:rPr>
                <w:rFonts w:ascii="Cambria Math" w:hAnsi="Cambria Math" w:cs="Cambria Math"/>
                <w:sz w:val="16"/>
                <w:szCs w:val="16"/>
              </w:rPr>
              <w:t>₂</w:t>
            </w:r>
            <w:r w:rsidRPr="00F24ABA">
              <w:rPr>
                <w:sz w:val="16"/>
                <w:szCs w:val="16"/>
              </w:rPr>
              <w:t>-kibocs</w:t>
            </w:r>
            <w:r w:rsidRPr="00F24ABA">
              <w:rPr>
                <w:rFonts w:cs="Garamond"/>
                <w:sz w:val="16"/>
                <w:szCs w:val="16"/>
              </w:rPr>
              <w:t>á</w:t>
            </w:r>
            <w:r w:rsidRPr="00F24ABA">
              <w:rPr>
                <w:sz w:val="16"/>
                <w:szCs w:val="16"/>
              </w:rPr>
              <w:t>t</w:t>
            </w:r>
            <w:r w:rsidRPr="00F24ABA">
              <w:rPr>
                <w:rFonts w:cs="Garamond"/>
                <w:sz w:val="16"/>
                <w:szCs w:val="16"/>
              </w:rPr>
              <w:t>á</w:t>
            </w:r>
            <w:r w:rsidRPr="00F24ABA">
              <w:rPr>
                <w:sz w:val="16"/>
                <w:szCs w:val="16"/>
              </w:rPr>
              <w:t>s.</w:t>
            </w:r>
          </w:p>
        </w:tc>
        <w:tc>
          <w:tcPr>
            <w:tcW w:w="1810" w:type="dxa"/>
          </w:tcPr>
          <w:p w14:paraId="4D1CED14" w14:textId="20F28E61" w:rsidR="002A0051" w:rsidRPr="00877884" w:rsidRDefault="00F24ABA" w:rsidP="00D81F41">
            <w:pPr>
              <w:rPr>
                <w:sz w:val="16"/>
                <w:szCs w:val="16"/>
              </w:rPr>
            </w:pPr>
            <w:r w:rsidRPr="00F24ABA">
              <w:rPr>
                <w:sz w:val="16"/>
                <w:szCs w:val="16"/>
              </w:rPr>
              <w:t>Nyitott, kezeletlen trágyacsatornák és teljesen nyitott külső hígtrágyatároló lagúnák. Felszíni, szórófejes szántóföldi kijuttatás extrém párolgási és ÜHG-veszteséggel.</w:t>
            </w:r>
          </w:p>
        </w:tc>
        <w:tc>
          <w:tcPr>
            <w:tcW w:w="1808" w:type="dxa"/>
          </w:tcPr>
          <w:p w14:paraId="69C0007D" w14:textId="72887D93" w:rsidR="002A0051" w:rsidRPr="00877884" w:rsidRDefault="00F24ABA" w:rsidP="00D81F41">
            <w:pPr>
              <w:rPr>
                <w:sz w:val="16"/>
                <w:szCs w:val="16"/>
              </w:rPr>
            </w:pPr>
            <w:r w:rsidRPr="00F24ABA">
              <w:rPr>
                <w:sz w:val="16"/>
                <w:szCs w:val="16"/>
              </w:rPr>
              <w:t>Gyenge hőszigetelésű istállók, nincs beépített hűtési rendszer. A tetemek elszállítása kezeletlenül, nyitott konténerekben történik, magas biológiai és járványügyi kockázat mellett.</w:t>
            </w:r>
          </w:p>
        </w:tc>
        <w:tc>
          <w:tcPr>
            <w:tcW w:w="1808" w:type="dxa"/>
          </w:tcPr>
          <w:p w14:paraId="05DFAEA7" w14:textId="18F64B60" w:rsidR="002A0051" w:rsidRPr="00877884" w:rsidRDefault="00877884" w:rsidP="00D81F41">
            <w:pPr>
              <w:rPr>
                <w:sz w:val="16"/>
                <w:szCs w:val="16"/>
              </w:rPr>
            </w:pPr>
            <w:r w:rsidRPr="00877884">
              <w:rPr>
                <w:sz w:val="16"/>
                <w:szCs w:val="16"/>
              </w:rPr>
              <w:t>Zöldmezős beruházás értékes erdők vagy gyepek kiirtásával. Minimális, homogén fűfelület, tájidegen vagy inváziós növényfajok (özönnövények) szakszerűtlen telepítése.</w:t>
            </w:r>
          </w:p>
        </w:tc>
      </w:tr>
      <w:tr w:rsidR="002A0051" w14:paraId="1D8AA0E3" w14:textId="77777777" w:rsidTr="00877884">
        <w:tc>
          <w:tcPr>
            <w:tcW w:w="1807" w:type="dxa"/>
          </w:tcPr>
          <w:p w14:paraId="258F3510" w14:textId="6C8B9491" w:rsidR="002A0051" w:rsidRPr="00877884" w:rsidRDefault="00877884" w:rsidP="00D81F41">
            <w:pPr>
              <w:rPr>
                <w:sz w:val="20"/>
                <w:szCs w:val="20"/>
              </w:rPr>
            </w:pPr>
            <w:r w:rsidRPr="00877884">
              <w:rPr>
                <w:sz w:val="20"/>
                <w:szCs w:val="20"/>
              </w:rPr>
              <w:t>RÉSZBEN MEGFELELT</w:t>
            </w:r>
          </w:p>
        </w:tc>
        <w:tc>
          <w:tcPr>
            <w:tcW w:w="1807" w:type="dxa"/>
          </w:tcPr>
          <w:p w14:paraId="01F35A98" w14:textId="08218581" w:rsidR="002A0051" w:rsidRPr="00877884" w:rsidRDefault="00F24ABA" w:rsidP="00D81F41">
            <w:pPr>
              <w:rPr>
                <w:sz w:val="16"/>
                <w:szCs w:val="16"/>
              </w:rPr>
            </w:pPr>
            <w:r w:rsidRPr="00F24ABA">
              <w:rPr>
                <w:sz w:val="16"/>
                <w:szCs w:val="16"/>
              </w:rPr>
              <w:t xml:space="preserve">Korszerűbb gázkazánok alkalmazása, de a telep továbbra is függ a fosszilis </w:t>
            </w:r>
            <w:r w:rsidRPr="00F24ABA">
              <w:rPr>
                <w:sz w:val="16"/>
                <w:szCs w:val="16"/>
              </w:rPr>
              <w:lastRenderedPageBreak/>
              <w:t>energiahordozóktól. Nincs helyszíni megújulóenergia-termelés, a klímatudatosság kimerül a minimális hőszigetelésben.</w:t>
            </w:r>
          </w:p>
        </w:tc>
        <w:tc>
          <w:tcPr>
            <w:tcW w:w="1810" w:type="dxa"/>
          </w:tcPr>
          <w:p w14:paraId="6FE71A09" w14:textId="4E328EA8" w:rsidR="002A0051" w:rsidRPr="00877884" w:rsidRDefault="00F24ABA" w:rsidP="00D81F41">
            <w:pPr>
              <w:rPr>
                <w:sz w:val="16"/>
                <w:szCs w:val="16"/>
              </w:rPr>
            </w:pPr>
            <w:r w:rsidRPr="00F24ABA">
              <w:rPr>
                <w:sz w:val="16"/>
                <w:szCs w:val="16"/>
              </w:rPr>
              <w:lastRenderedPageBreak/>
              <w:t xml:space="preserve">Szakaszos leürítésű istállócsatornák, de a külső tározó fedetlen, vagy csak </w:t>
            </w:r>
            <w:r w:rsidRPr="00F24ABA">
              <w:rPr>
                <w:sz w:val="16"/>
                <w:szCs w:val="16"/>
              </w:rPr>
              <w:lastRenderedPageBreak/>
              <w:t>ideiglenes szalmaréteggel takart. Hagyományos csúszócsöves kijuttatás, mérsékelt emisszió-csökkentés.</w:t>
            </w:r>
          </w:p>
        </w:tc>
        <w:tc>
          <w:tcPr>
            <w:tcW w:w="1808" w:type="dxa"/>
          </w:tcPr>
          <w:p w14:paraId="0FDEBA8B" w14:textId="17D00BD5" w:rsidR="002A0051" w:rsidRPr="00877884" w:rsidRDefault="00F24ABA" w:rsidP="00D81F41">
            <w:pPr>
              <w:rPr>
                <w:sz w:val="16"/>
                <w:szCs w:val="16"/>
              </w:rPr>
            </w:pPr>
            <w:r w:rsidRPr="00F24ABA">
              <w:rPr>
                <w:sz w:val="16"/>
                <w:szCs w:val="16"/>
              </w:rPr>
              <w:lastRenderedPageBreak/>
              <w:t xml:space="preserve">Standard hőszigetelés, de a hűtés kimerül az egyszerű ventilátoros </w:t>
            </w:r>
            <w:r w:rsidRPr="00F24ABA">
              <w:rPr>
                <w:sz w:val="16"/>
                <w:szCs w:val="16"/>
              </w:rPr>
              <w:lastRenderedPageBreak/>
              <w:t>légkeverésben. A tetemkezelés külső elszállításra épül, hűtés nélkül, átmeneti tárolókban.</w:t>
            </w:r>
          </w:p>
        </w:tc>
        <w:tc>
          <w:tcPr>
            <w:tcW w:w="1808" w:type="dxa"/>
          </w:tcPr>
          <w:p w14:paraId="6EA726DB" w14:textId="44DF4045" w:rsidR="002A0051" w:rsidRPr="00877884" w:rsidRDefault="00877884" w:rsidP="00D81F41">
            <w:pPr>
              <w:rPr>
                <w:sz w:val="16"/>
                <w:szCs w:val="16"/>
              </w:rPr>
            </w:pPr>
            <w:r w:rsidRPr="00877884">
              <w:rPr>
                <w:sz w:val="16"/>
                <w:szCs w:val="16"/>
              </w:rPr>
              <w:lastRenderedPageBreak/>
              <w:t xml:space="preserve">Jelentős burkolt felületek, alacsony zöldfelületi arány. A telepített </w:t>
            </w:r>
            <w:r w:rsidRPr="00877884">
              <w:rPr>
                <w:sz w:val="16"/>
                <w:szCs w:val="16"/>
              </w:rPr>
              <w:lastRenderedPageBreak/>
              <w:t>növényzet struktúrája egysíkú (csak gyep), a fás szárúak aránya elenyésző, a szénmegkötés marginális.</w:t>
            </w:r>
          </w:p>
        </w:tc>
      </w:tr>
      <w:tr w:rsidR="002A0051" w14:paraId="5B7DDA6B" w14:textId="77777777" w:rsidTr="00877884">
        <w:tc>
          <w:tcPr>
            <w:tcW w:w="1807" w:type="dxa"/>
          </w:tcPr>
          <w:p w14:paraId="6A4AEBB8" w14:textId="67F01065" w:rsidR="002A0051" w:rsidRPr="00877884" w:rsidRDefault="00877884" w:rsidP="00D81F41">
            <w:pPr>
              <w:rPr>
                <w:sz w:val="20"/>
                <w:szCs w:val="20"/>
              </w:rPr>
            </w:pPr>
            <w:r w:rsidRPr="00877884">
              <w:rPr>
                <w:sz w:val="20"/>
                <w:szCs w:val="20"/>
              </w:rPr>
              <w:lastRenderedPageBreak/>
              <w:t>MEGFELELT</w:t>
            </w:r>
          </w:p>
        </w:tc>
        <w:tc>
          <w:tcPr>
            <w:tcW w:w="1807" w:type="dxa"/>
          </w:tcPr>
          <w:p w14:paraId="5741E814" w14:textId="7939741E" w:rsidR="002A0051" w:rsidRPr="00877884" w:rsidRDefault="00F24ABA" w:rsidP="00D81F41">
            <w:pPr>
              <w:rPr>
                <w:sz w:val="16"/>
                <w:szCs w:val="16"/>
              </w:rPr>
            </w:pPr>
            <w:r w:rsidRPr="00F24ABA">
              <w:rPr>
                <w:sz w:val="16"/>
                <w:szCs w:val="16"/>
              </w:rPr>
              <w:t>Részben villamosított rendszerek, energiahatékony szellőztetés. A jogszabályi minimumot teljesítő épületenergetika. Elvi szinten tervezett, de számszerűsítetlen megújuló energia.</w:t>
            </w:r>
          </w:p>
        </w:tc>
        <w:tc>
          <w:tcPr>
            <w:tcW w:w="1810" w:type="dxa"/>
          </w:tcPr>
          <w:p w14:paraId="1671393C" w14:textId="039E4E9B" w:rsidR="002A0051" w:rsidRPr="00877884" w:rsidRDefault="00F24ABA" w:rsidP="00D81F41">
            <w:pPr>
              <w:rPr>
                <w:sz w:val="16"/>
                <w:szCs w:val="16"/>
              </w:rPr>
            </w:pPr>
            <w:r w:rsidRPr="00F24ABA">
              <w:rPr>
                <w:sz w:val="16"/>
                <w:szCs w:val="16"/>
              </w:rPr>
              <w:t>Zárt csővezetékes trágyaelvezetés. A külső tároló stabil, merev vagy úszó fedéssel ellátott. Tervszerű, de külsős alvállalkozók logisztikájára és hagyományos technológiájára épülő szántóföldi elhelyezés.</w:t>
            </w:r>
          </w:p>
        </w:tc>
        <w:tc>
          <w:tcPr>
            <w:tcW w:w="1808" w:type="dxa"/>
          </w:tcPr>
          <w:p w14:paraId="10AD70D7" w14:textId="4DBF2001" w:rsidR="002A0051" w:rsidRPr="00877884" w:rsidRDefault="00F24ABA" w:rsidP="00D81F41">
            <w:pPr>
              <w:rPr>
                <w:sz w:val="16"/>
                <w:szCs w:val="16"/>
              </w:rPr>
            </w:pPr>
            <w:r w:rsidRPr="00F24ABA">
              <w:rPr>
                <w:sz w:val="16"/>
                <w:szCs w:val="16"/>
              </w:rPr>
              <w:t>Megfelelő hőszigeteltség. Időszakos, kézi vezérlésű párásító/hűtő berendezések. Járványvédelmi kerítésvonal és standard hűtött hullatároló (pl. Euratainer) megléte.</w:t>
            </w:r>
          </w:p>
        </w:tc>
        <w:tc>
          <w:tcPr>
            <w:tcW w:w="1808" w:type="dxa"/>
          </w:tcPr>
          <w:p w14:paraId="68CEAADD" w14:textId="32CC83E1" w:rsidR="002A0051" w:rsidRPr="00877884" w:rsidRDefault="00877884" w:rsidP="00D81F41">
            <w:pPr>
              <w:rPr>
                <w:sz w:val="16"/>
                <w:szCs w:val="16"/>
              </w:rPr>
            </w:pPr>
            <w:r w:rsidRPr="00877884">
              <w:rPr>
                <w:sz w:val="16"/>
                <w:szCs w:val="16"/>
              </w:rPr>
              <w:t>A helyi építési szabályzat (HÉSZ) zöldfelületi minimumának pontos teljesítése. Vegyes növényzet, de hiányzik a tudatos, rétegzett zöldinfrastruktúra-tervezés és a számszerűsített klímavédelmi mérleg.</w:t>
            </w:r>
          </w:p>
        </w:tc>
      </w:tr>
      <w:tr w:rsidR="002A0051" w14:paraId="2CE3B7F1" w14:textId="77777777" w:rsidTr="00877884">
        <w:tc>
          <w:tcPr>
            <w:tcW w:w="1807" w:type="dxa"/>
          </w:tcPr>
          <w:p w14:paraId="06311790" w14:textId="1929E959" w:rsidR="002A0051" w:rsidRPr="00877884" w:rsidRDefault="00877884" w:rsidP="00D81F41">
            <w:pPr>
              <w:rPr>
                <w:sz w:val="20"/>
                <w:szCs w:val="20"/>
              </w:rPr>
            </w:pPr>
            <w:r w:rsidRPr="00877884">
              <w:rPr>
                <w:sz w:val="20"/>
                <w:szCs w:val="20"/>
              </w:rPr>
              <w:t>KIVÁLÓ</w:t>
            </w:r>
          </w:p>
        </w:tc>
        <w:tc>
          <w:tcPr>
            <w:tcW w:w="1807" w:type="dxa"/>
          </w:tcPr>
          <w:p w14:paraId="246196E0" w14:textId="600E8F4C" w:rsidR="002A0051" w:rsidRPr="00877884" w:rsidRDefault="00F24ABA" w:rsidP="00D81F41">
            <w:pPr>
              <w:rPr>
                <w:sz w:val="16"/>
                <w:szCs w:val="16"/>
              </w:rPr>
            </w:pPr>
            <w:r w:rsidRPr="00F24ABA">
              <w:rPr>
                <w:sz w:val="16"/>
                <w:szCs w:val="16"/>
              </w:rPr>
              <w:t>Teljesen fosszilismentesített (villamosított) folyamatos alapüzem. Saját napelemes (PV) kapacitások integrálása. Frekvenciaváltós, dinamikusan szabályozott Big Dutchman légtechnika, alacsony belső Scope 2 és 3 lábnyom.</w:t>
            </w:r>
          </w:p>
        </w:tc>
        <w:tc>
          <w:tcPr>
            <w:tcW w:w="1810" w:type="dxa"/>
          </w:tcPr>
          <w:p w14:paraId="4EE5E59E" w14:textId="4280BB7C" w:rsidR="002A0051" w:rsidRPr="00877884" w:rsidRDefault="00F24ABA" w:rsidP="00D81F41">
            <w:pPr>
              <w:rPr>
                <w:sz w:val="16"/>
                <w:szCs w:val="16"/>
              </w:rPr>
            </w:pPr>
            <w:r w:rsidRPr="00F24ABA">
              <w:rPr>
                <w:sz w:val="16"/>
                <w:szCs w:val="16"/>
              </w:rPr>
              <w:t>Vákuumos, üledékmentes rendszer + külső ponyvafedés + BioAmp 300 / FreeFlow mikrobiológiai stabilizálás. A nitrogén ammónium-ion formájában való rögzítése. Saját Fliegl Tridem gépparkkal végzett, közvetlen talajfelszín alá történő injectoros (Maulwulf/SSG/GUG) injektálás.</w:t>
            </w:r>
          </w:p>
        </w:tc>
        <w:tc>
          <w:tcPr>
            <w:tcW w:w="1808" w:type="dxa"/>
          </w:tcPr>
          <w:p w14:paraId="64A6BADC" w14:textId="0D02E29D" w:rsidR="002A0051" w:rsidRPr="00877884" w:rsidRDefault="00F24ABA" w:rsidP="00D81F41">
            <w:pPr>
              <w:rPr>
                <w:sz w:val="16"/>
                <w:szCs w:val="16"/>
              </w:rPr>
            </w:pPr>
            <w:r w:rsidRPr="00F24ABA">
              <w:rPr>
                <w:sz w:val="16"/>
                <w:szCs w:val="16"/>
              </w:rPr>
              <w:t>Zárt PIR szendvicspaneles hőszigetelés + automatizált, számítógép-vezérelt evaporatív Cool-pad hűtőrendszer. Teljes körű védelem a hőstressz ellen. Bentley 1000 AIS 064 Cyclone helyszíni utóégetős égetőmű, amely azonnali biológiai izolációt biztosít a klímaváltozással terjedő járványok ellen, és kiváltja a közúti Scope 3 szállítási emissziót.</w:t>
            </w:r>
          </w:p>
        </w:tc>
        <w:tc>
          <w:tcPr>
            <w:tcW w:w="1808" w:type="dxa"/>
          </w:tcPr>
          <w:p w14:paraId="6B5B694E" w14:textId="5170E099" w:rsidR="002A0051" w:rsidRPr="00877884" w:rsidRDefault="00877884" w:rsidP="00D81F41">
            <w:pPr>
              <w:rPr>
                <w:sz w:val="16"/>
                <w:szCs w:val="16"/>
              </w:rPr>
            </w:pPr>
            <w:r w:rsidRPr="00877884">
              <w:rPr>
                <w:sz w:val="16"/>
                <w:szCs w:val="16"/>
              </w:rPr>
              <w:t>Barnamezős revitalizáció 0% elnyelés-kieséssel. 15 205,33 m²-es, tervezett, 3 szintes zöldfelületi struktúra szigorúan őshonos, tájazonos fajokkal (Mezei juhar fasorok, Közönséges fagyal cserjesávok, zárt gyep). A helyi növényzet igazoltan képes ellensúlyozni a telepi fosszilis CO</w:t>
            </w:r>
            <w:r w:rsidRPr="00877884">
              <w:rPr>
                <w:rFonts w:ascii="Cambria Math" w:hAnsi="Cambria Math" w:cs="Cambria Math"/>
                <w:sz w:val="16"/>
                <w:szCs w:val="16"/>
              </w:rPr>
              <w:t>₂</w:t>
            </w:r>
            <w:r w:rsidRPr="00877884">
              <w:rPr>
                <w:sz w:val="16"/>
                <w:szCs w:val="16"/>
              </w:rPr>
              <w:t>-kibocs</w:t>
            </w:r>
            <w:r w:rsidRPr="00877884">
              <w:rPr>
                <w:rFonts w:cs="Garamond"/>
                <w:sz w:val="16"/>
                <w:szCs w:val="16"/>
              </w:rPr>
              <w:t>á</w:t>
            </w:r>
            <w:r w:rsidRPr="00877884">
              <w:rPr>
                <w:sz w:val="16"/>
                <w:szCs w:val="16"/>
              </w:rPr>
              <w:t>t</w:t>
            </w:r>
            <w:r w:rsidRPr="00877884">
              <w:rPr>
                <w:rFonts w:cs="Garamond"/>
                <w:sz w:val="16"/>
                <w:szCs w:val="16"/>
              </w:rPr>
              <w:t>á</w:t>
            </w:r>
            <w:r w:rsidRPr="00877884">
              <w:rPr>
                <w:sz w:val="16"/>
                <w:szCs w:val="16"/>
              </w:rPr>
              <w:t>s &gt;20%-</w:t>
            </w:r>
            <w:r w:rsidRPr="00877884">
              <w:rPr>
                <w:rFonts w:cs="Garamond"/>
                <w:sz w:val="16"/>
                <w:szCs w:val="16"/>
              </w:rPr>
              <w:t>á</w:t>
            </w:r>
            <w:r w:rsidRPr="00877884">
              <w:rPr>
                <w:sz w:val="16"/>
                <w:szCs w:val="16"/>
              </w:rPr>
              <w:t>t.</w:t>
            </w:r>
          </w:p>
        </w:tc>
      </w:tr>
    </w:tbl>
    <w:p w14:paraId="11EE1A47" w14:textId="33BD18B1" w:rsidR="00051313" w:rsidRDefault="00051313" w:rsidP="00051313">
      <w:pPr>
        <w:pStyle w:val="Kpalrs"/>
      </w:pPr>
      <w:r>
        <w:fldChar w:fldCharType="begin"/>
      </w:r>
      <w:r>
        <w:instrText xml:space="preserve"> SEQ táblázat \* ARABIC </w:instrText>
      </w:r>
      <w:r>
        <w:fldChar w:fldCharType="separate"/>
      </w:r>
      <w:r w:rsidR="00040813">
        <w:t>6</w:t>
      </w:r>
      <w:r>
        <w:fldChar w:fldCharType="end"/>
      </w:r>
      <w:r>
        <w:t>. táblázat: Értékelési szempontrendszer</w:t>
      </w:r>
    </w:p>
    <w:p w14:paraId="3B84077A" w14:textId="77777777" w:rsidR="002A0051" w:rsidRDefault="002A0051" w:rsidP="00D81F41"/>
    <w:p w14:paraId="249B3495" w14:textId="1E9707BC" w:rsidR="006809D2" w:rsidRPr="006809D2" w:rsidRDefault="008D5FD8" w:rsidP="006809D2">
      <w:pPr>
        <w:rPr>
          <w:b/>
          <w:bCs/>
        </w:rPr>
      </w:pPr>
      <w:r>
        <w:rPr>
          <w:b/>
          <w:bCs/>
        </w:rPr>
        <w:t>Klímavédelmi s</w:t>
      </w:r>
      <w:r w:rsidR="006809D2" w:rsidRPr="006809D2">
        <w:rPr>
          <w:b/>
          <w:bCs/>
        </w:rPr>
        <w:t xml:space="preserve">zakértői </w:t>
      </w:r>
      <w:r>
        <w:rPr>
          <w:b/>
          <w:bCs/>
        </w:rPr>
        <w:t>k</w:t>
      </w:r>
      <w:r w:rsidR="006809D2" w:rsidRPr="006809D2">
        <w:rPr>
          <w:b/>
          <w:bCs/>
        </w:rPr>
        <w:t>onklúzió:</w:t>
      </w:r>
    </w:p>
    <w:p w14:paraId="4F27BAE2" w14:textId="77777777" w:rsidR="00CA134A" w:rsidRPr="00CA134A" w:rsidRDefault="00CA134A" w:rsidP="00CA134A">
      <w:r w:rsidRPr="00CA134A">
        <w:t>Megállapítható, hogy a telephely alapvető üzemeltetési folyamatainak tisztán villamosenergia-platformra helyezése (gázhálózat teljes kizárása) és a tetőfelületi napelemes (PV) rendszerek integrálása minimális szintre szorítja vissza a létesítmény közvetlen fosszilis karbonterhelését.</w:t>
      </w:r>
    </w:p>
    <w:p w14:paraId="42395122" w14:textId="77777777" w:rsidR="00CA134A" w:rsidRPr="00CA134A" w:rsidRDefault="00CA134A" w:rsidP="00CA134A">
      <w:r w:rsidRPr="00CA134A">
        <w:t>A tervezett, szigorúan őshonos és tájazonos fajokból felépülő 1,5 hektáros, 3 szintes védőfásítási program nettó 12,697 t/év CO</w:t>
      </w:r>
      <w:r w:rsidRPr="00CA134A">
        <w:rPr>
          <w:rFonts w:ascii="Cambria Math" w:hAnsi="Cambria Math" w:cs="Cambria Math"/>
        </w:rPr>
        <w:t>₂</w:t>
      </w:r>
      <w:r w:rsidRPr="00CA134A">
        <w:t>-elnyel</w:t>
      </w:r>
      <w:r w:rsidRPr="00CA134A">
        <w:rPr>
          <w:rFonts w:cs="Garamond"/>
        </w:rPr>
        <w:t>é</w:t>
      </w:r>
      <w:r w:rsidRPr="00CA134A">
        <w:t>si kapacit</w:t>
      </w:r>
      <w:r w:rsidRPr="00CA134A">
        <w:rPr>
          <w:rFonts w:cs="Garamond"/>
        </w:rPr>
        <w:t>á</w:t>
      </w:r>
      <w:r w:rsidRPr="00CA134A">
        <w:t xml:space="preserve">sa </w:t>
      </w:r>
      <w:r w:rsidRPr="00CA134A">
        <w:rPr>
          <w:rFonts w:cs="Garamond"/>
        </w:rPr>
        <w:t>ö</w:t>
      </w:r>
      <w:r w:rsidRPr="00CA134A">
        <w:t>nmag</w:t>
      </w:r>
      <w:r w:rsidRPr="00CA134A">
        <w:rPr>
          <w:rFonts w:cs="Garamond"/>
        </w:rPr>
        <w:t>á</w:t>
      </w:r>
      <w:r w:rsidRPr="00CA134A">
        <w:t>ban k</w:t>
      </w:r>
      <w:r w:rsidRPr="00CA134A">
        <w:rPr>
          <w:rFonts w:cs="Garamond"/>
        </w:rPr>
        <w:t>é</w:t>
      </w:r>
      <w:r w:rsidRPr="00CA134A">
        <w:t>pes ellens</w:t>
      </w:r>
      <w:r w:rsidRPr="00CA134A">
        <w:rPr>
          <w:rFonts w:cs="Garamond"/>
        </w:rPr>
        <w:t>ú</w:t>
      </w:r>
      <w:r w:rsidRPr="00CA134A">
        <w:t>lyozni a telephely teljes direkt fosszilis (g</w:t>
      </w:r>
      <w:r w:rsidRPr="00CA134A">
        <w:rPr>
          <w:rFonts w:cs="Garamond"/>
        </w:rPr>
        <w:t>á</w:t>
      </w:r>
      <w:r w:rsidRPr="00CA134A">
        <w:t>zolaj-termikus) emisszi</w:t>
      </w:r>
      <w:r w:rsidRPr="00CA134A">
        <w:rPr>
          <w:rFonts w:cs="Garamond"/>
        </w:rPr>
        <w:t>ó</w:t>
      </w:r>
      <w:r w:rsidRPr="00CA134A">
        <w:t>j</w:t>
      </w:r>
      <w:r w:rsidRPr="00CA134A">
        <w:rPr>
          <w:rFonts w:cs="Garamond"/>
        </w:rPr>
        <w:t>á</w:t>
      </w:r>
      <w:r w:rsidRPr="00CA134A">
        <w:t>nak 21,58%-</w:t>
      </w:r>
      <w:r w:rsidRPr="00CA134A">
        <w:rPr>
          <w:rFonts w:cs="Garamond"/>
        </w:rPr>
        <w:t>á</w:t>
      </w:r>
      <w:r w:rsidRPr="00CA134A">
        <w:t xml:space="preserve">t. Az </w:t>
      </w:r>
      <w:r w:rsidRPr="00CA134A">
        <w:rPr>
          <w:rFonts w:cs="Garamond"/>
        </w:rPr>
        <w:t>á</w:t>
      </w:r>
      <w:r w:rsidRPr="00CA134A">
        <w:t>llatteny</w:t>
      </w:r>
      <w:r w:rsidRPr="00CA134A">
        <w:rPr>
          <w:rFonts w:cs="Garamond"/>
        </w:rPr>
        <w:t>é</w:t>
      </w:r>
      <w:r w:rsidRPr="00CA134A">
        <w:t>szt</w:t>
      </w:r>
      <w:r w:rsidRPr="00CA134A">
        <w:rPr>
          <w:rFonts w:cs="Garamond"/>
        </w:rPr>
        <w:t>é</w:t>
      </w:r>
      <w:r w:rsidRPr="00CA134A">
        <w:t xml:space="preserve">si </w:t>
      </w:r>
      <w:r w:rsidRPr="00CA134A">
        <w:rPr>
          <w:rFonts w:cs="Garamond"/>
        </w:rPr>
        <w:t>á</w:t>
      </w:r>
      <w:r w:rsidRPr="00CA134A">
        <w:t>gazat biol</w:t>
      </w:r>
      <w:r w:rsidRPr="00CA134A">
        <w:rPr>
          <w:rFonts w:cs="Garamond"/>
        </w:rPr>
        <w:t>ó</w:t>
      </w:r>
      <w:r w:rsidRPr="00CA134A">
        <w:t>giai saj</w:t>
      </w:r>
      <w:r w:rsidRPr="00CA134A">
        <w:rPr>
          <w:rFonts w:cs="Garamond"/>
        </w:rPr>
        <w:t>á</w:t>
      </w:r>
      <w:r w:rsidRPr="00CA134A">
        <w:t>toss</w:t>
      </w:r>
      <w:r w:rsidRPr="00CA134A">
        <w:rPr>
          <w:rFonts w:cs="Garamond"/>
        </w:rPr>
        <w:t>á</w:t>
      </w:r>
      <w:r w:rsidRPr="00CA134A">
        <w:t>gaib</w:t>
      </w:r>
      <w:r w:rsidRPr="00CA134A">
        <w:rPr>
          <w:rFonts w:cs="Garamond"/>
        </w:rPr>
        <w:t>ó</w:t>
      </w:r>
      <w:r w:rsidRPr="00CA134A">
        <w:t>l fakad</w:t>
      </w:r>
      <w:r w:rsidRPr="00CA134A">
        <w:rPr>
          <w:rFonts w:cs="Garamond"/>
        </w:rPr>
        <w:t>ó</w:t>
      </w:r>
      <w:r w:rsidRPr="00CA134A">
        <w:t xml:space="preserve"> biog</w:t>
      </w:r>
      <w:r w:rsidRPr="00CA134A">
        <w:rPr>
          <w:rFonts w:cs="Garamond"/>
        </w:rPr>
        <w:t>é</w:t>
      </w:r>
      <w:r w:rsidRPr="00CA134A">
        <w:t>n h</w:t>
      </w:r>
      <w:r w:rsidRPr="00CA134A">
        <w:rPr>
          <w:rFonts w:cs="Garamond"/>
        </w:rPr>
        <w:t>á</w:t>
      </w:r>
      <w:r w:rsidRPr="00CA134A">
        <w:t>tt</w:t>
      </w:r>
      <w:r w:rsidRPr="00CA134A">
        <w:rPr>
          <w:rFonts w:cs="Garamond"/>
        </w:rPr>
        <w:t>é</w:t>
      </w:r>
      <w:r w:rsidRPr="00CA134A">
        <w:t>rkibocs</w:t>
      </w:r>
      <w:r w:rsidRPr="00CA134A">
        <w:rPr>
          <w:rFonts w:cs="Garamond"/>
        </w:rPr>
        <w:t>á</w:t>
      </w:r>
      <w:r w:rsidRPr="00CA134A">
        <w:t>t</w:t>
      </w:r>
      <w:r w:rsidRPr="00CA134A">
        <w:rPr>
          <w:rFonts w:cs="Garamond"/>
        </w:rPr>
        <w:t>á</w:t>
      </w:r>
      <w:r w:rsidRPr="00CA134A">
        <w:t>sokat is figyelembe v</w:t>
      </w:r>
      <w:r w:rsidRPr="00CA134A">
        <w:rPr>
          <w:rFonts w:cs="Garamond"/>
        </w:rPr>
        <w:t>é</w:t>
      </w:r>
      <w:r w:rsidRPr="00CA134A">
        <w:t>ve, a technol</w:t>
      </w:r>
      <w:r w:rsidRPr="00CA134A">
        <w:rPr>
          <w:rFonts w:cs="Garamond"/>
        </w:rPr>
        <w:t>ó</w:t>
      </w:r>
      <w:r w:rsidRPr="00CA134A">
        <w:t>gia forr</w:t>
      </w:r>
      <w:r w:rsidRPr="00CA134A">
        <w:rPr>
          <w:rFonts w:cs="Garamond"/>
        </w:rPr>
        <w:t>á</w:t>
      </w:r>
      <w:r w:rsidRPr="00CA134A">
        <w:t>soldali z</w:t>
      </w:r>
      <w:r w:rsidRPr="00CA134A">
        <w:rPr>
          <w:rFonts w:cs="Garamond"/>
        </w:rPr>
        <w:t>á</w:t>
      </w:r>
      <w:r w:rsidRPr="00CA134A">
        <w:t>rts</w:t>
      </w:r>
      <w:r w:rsidRPr="00CA134A">
        <w:rPr>
          <w:rFonts w:cs="Garamond"/>
        </w:rPr>
        <w:t>á</w:t>
      </w:r>
      <w:r w:rsidRPr="00CA134A">
        <w:t>ga (v</w:t>
      </w:r>
      <w:r w:rsidRPr="00CA134A">
        <w:rPr>
          <w:rFonts w:cs="Garamond"/>
        </w:rPr>
        <w:t>á</w:t>
      </w:r>
      <w:r w:rsidRPr="00CA134A">
        <w:t>kuumrendszer, ponyvafed</w:t>
      </w:r>
      <w:r w:rsidRPr="00CA134A">
        <w:rPr>
          <w:rFonts w:cs="Garamond"/>
        </w:rPr>
        <w:t>é</w:t>
      </w:r>
      <w:r w:rsidRPr="00CA134A">
        <w:t>s, BioAmp bakt</w:t>
      </w:r>
      <w:r w:rsidRPr="00CA134A">
        <w:rPr>
          <w:rFonts w:cs="Garamond"/>
        </w:rPr>
        <w:t>é</w:t>
      </w:r>
      <w:r w:rsidRPr="00CA134A">
        <w:t>riumadagol</w:t>
      </w:r>
      <w:r w:rsidRPr="00CA134A">
        <w:rPr>
          <w:rFonts w:cs="Garamond"/>
        </w:rPr>
        <w:t>á</w:t>
      </w:r>
      <w:r w:rsidRPr="00CA134A">
        <w:t xml:space="preserve">s </w:t>
      </w:r>
      <w:r w:rsidRPr="00CA134A">
        <w:rPr>
          <w:rFonts w:cs="Garamond"/>
        </w:rPr>
        <w:t>é</w:t>
      </w:r>
      <w:r w:rsidRPr="00CA134A">
        <w:t>s talajfelsz</w:t>
      </w:r>
      <w:r w:rsidRPr="00CA134A">
        <w:rPr>
          <w:rFonts w:cs="Garamond"/>
        </w:rPr>
        <w:t>í</w:t>
      </w:r>
      <w:r w:rsidRPr="00CA134A">
        <w:t>n al</w:t>
      </w:r>
      <w:r w:rsidRPr="00CA134A">
        <w:rPr>
          <w:rFonts w:cs="Garamond"/>
        </w:rPr>
        <w:t>á</w:t>
      </w:r>
      <w:r w:rsidRPr="00CA134A">
        <w:t xml:space="preserve"> t</w:t>
      </w:r>
      <w:r w:rsidRPr="00CA134A">
        <w:rPr>
          <w:rFonts w:cs="Garamond"/>
        </w:rPr>
        <w:t>ö</w:t>
      </w:r>
      <w:r w:rsidRPr="00CA134A">
        <w:t>rt</w:t>
      </w:r>
      <w:r w:rsidRPr="00CA134A">
        <w:rPr>
          <w:rFonts w:cs="Garamond"/>
        </w:rPr>
        <w:t>é</w:t>
      </w:r>
      <w:r w:rsidRPr="00CA134A">
        <w:t>n</w:t>
      </w:r>
      <w:r w:rsidRPr="00CA134A">
        <w:rPr>
          <w:rFonts w:cs="Garamond"/>
        </w:rPr>
        <w:t>ő</w:t>
      </w:r>
      <w:r w:rsidRPr="00CA134A">
        <w:t xml:space="preserve"> Fliegl injekt</w:t>
      </w:r>
      <w:r w:rsidRPr="00CA134A">
        <w:rPr>
          <w:rFonts w:cs="Garamond"/>
        </w:rPr>
        <w:t>á</w:t>
      </w:r>
      <w:r w:rsidRPr="00CA134A">
        <w:t>l</w:t>
      </w:r>
      <w:r w:rsidRPr="00CA134A">
        <w:rPr>
          <w:rFonts w:cs="Garamond"/>
        </w:rPr>
        <w:t>á</w:t>
      </w:r>
      <w:r w:rsidRPr="00CA134A">
        <w:t>s) a hat</w:t>
      </w:r>
      <w:r w:rsidRPr="00CA134A">
        <w:rPr>
          <w:rFonts w:cs="Garamond"/>
        </w:rPr>
        <w:t>á</w:t>
      </w:r>
      <w:r w:rsidRPr="00CA134A">
        <w:t>lyos BAT-következtetések (Best Available Techniques) szerinti legmagasabb szintű kibocsátás-csökkentést garantálja.</w:t>
      </w:r>
    </w:p>
    <w:p w14:paraId="2BEA67CF" w14:textId="6834FC5E" w:rsidR="00CA134A" w:rsidRPr="00CA134A" w:rsidRDefault="00CA134A" w:rsidP="00CA134A">
      <w:r w:rsidRPr="00CA134A">
        <w:t>Mivel az egyedi létesítmények szintjén sem a hazai (314/2005. Korm. rendelet), sem az uniós jogszabályok nem írnak elő 100%-os kötelező karbonkompenzációs rátát, a beruházás által tervezett több mint 21%-os helyszíni fosszilis semlegesítési arány – a barnamezős revitalizációval és a megújuló energiákkal kiegészülve – a gyakorlatban kiemelkedő környezeti elkötelezettséget igazol.</w:t>
      </w:r>
    </w:p>
    <w:p w14:paraId="2C62A47D" w14:textId="7DC3D1A7" w:rsidR="000E0115" w:rsidRPr="00D81F41" w:rsidRDefault="006809D2" w:rsidP="00D81F41">
      <w:r w:rsidRPr="006809D2">
        <w:lastRenderedPageBreak/>
        <w:t xml:space="preserve">A létesítmény működése </w:t>
      </w:r>
      <w:r w:rsidRPr="006809D2">
        <w:rPr>
          <w:b/>
          <w:bCs/>
        </w:rPr>
        <w:t>maradéktalanul támogatja a magyar és az európai uniós klímavédelmi stratégiákat és célszámokat</w:t>
      </w:r>
      <w:r w:rsidRPr="006809D2">
        <w:t>, így éghajlatvédelmi szempontból a projekt támogatásra és hatósági jóváhagyásra javasolt.</w:t>
      </w:r>
    </w:p>
    <w:sectPr w:rsidR="000E0115" w:rsidRPr="00D81F41" w:rsidSect="008962EB">
      <w:footerReference w:type="default" r:id="rId13"/>
      <w:pgSz w:w="11906" w:h="16838" w:code="9"/>
      <w:pgMar w:top="1418" w:right="1418" w:bottom="1418"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5F015" w14:textId="77777777" w:rsidR="00CC2356" w:rsidRDefault="00CC2356">
      <w:r>
        <w:separator/>
      </w:r>
    </w:p>
  </w:endnote>
  <w:endnote w:type="continuationSeparator" w:id="0">
    <w:p w14:paraId="5E0666EF" w14:textId="77777777" w:rsidR="00CC2356" w:rsidRDefault="00CC2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Arial Unicode MS'">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tarSymbol">
    <w:altName w:val="MS Mincho"/>
    <w:charset w:val="02"/>
    <w:family w:val="auto"/>
    <w:pitch w:val="default"/>
  </w:font>
  <w:font w:name="Albany">
    <w:altName w:val="Arial"/>
    <w:charset w:val="00"/>
    <w:family w:val="swiss"/>
    <w:pitch w:val="variable"/>
  </w:font>
  <w:font w:name="HG Mincho Light J">
    <w:altName w:val="Times New Roman"/>
    <w:charset w:val="00"/>
    <w:family w:val="auto"/>
    <w:pitch w:val="variable"/>
  </w:font>
  <w:font w:name="Arial Unicode MS">
    <w:panose1 w:val="020B0604020202020204"/>
    <w:charset w:val="80"/>
    <w:family w:val="swiss"/>
    <w:pitch w:val="variable"/>
    <w:sig w:usb0="F7FFAEFF" w:usb1="F9DFFFFF" w:usb2="0000007F" w:usb3="00000000" w:csb0="003F01FF" w:csb1="00000000"/>
  </w:font>
  <w:font w:name="Times New Roman félkövér">
    <w:panose1 w:val="02020803070505020304"/>
    <w:charset w:val="00"/>
    <w:family w:val="roman"/>
    <w:notTrueType/>
    <w:pitch w:val="default"/>
    <w:sig w:usb0="00000003" w:usb1="00000000" w:usb2="00000000" w:usb3="00000000" w:csb0="00000001" w:csb1="00000000"/>
  </w:font>
  <w:font w:name="H-Times New Roma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haroni">
    <w:charset w:val="B1"/>
    <w:family w:val="auto"/>
    <w:pitch w:val="variable"/>
    <w:sig w:usb0="00000803" w:usb1="00000000" w:usb2="00000000" w:usb3="00000000" w:csb0="0000002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94535" w14:textId="77777777" w:rsidR="00B07ACF" w:rsidRDefault="00B07ACF" w:rsidP="00C97120">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14:paraId="6100B86D" w14:textId="77777777" w:rsidR="00B07ACF" w:rsidRDefault="00B07ACF" w:rsidP="00106C2B">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A2FC3" w14:textId="77777777" w:rsidR="00B07ACF" w:rsidRDefault="00B07ACF" w:rsidP="00876C45">
    <w:pPr>
      <w:spacing w:after="0"/>
      <w:jc w:val="center"/>
      <w:rPr>
        <w:sz w:val="20"/>
      </w:rPr>
    </w:pPr>
  </w:p>
  <w:p w14:paraId="4D0727A0" w14:textId="77777777" w:rsidR="00B07ACF" w:rsidRPr="00876C45" w:rsidRDefault="00B07ACF" w:rsidP="00876C45">
    <w:pPr>
      <w:pBdr>
        <w:top w:val="single" w:sz="4" w:space="1" w:color="auto"/>
      </w:pBdr>
      <w:spacing w:after="0"/>
      <w:jc w:val="center"/>
      <w:rPr>
        <w:sz w:val="20"/>
      </w:rPr>
    </w:pPr>
  </w:p>
  <w:tbl>
    <w:tblPr>
      <w:tblW w:w="9183" w:type="dxa"/>
      <w:tblLook w:val="04A0" w:firstRow="1" w:lastRow="0" w:firstColumn="1" w:lastColumn="0" w:noHBand="0" w:noVBand="1"/>
    </w:tblPr>
    <w:tblGrid>
      <w:gridCol w:w="1020"/>
      <w:gridCol w:w="7143"/>
      <w:gridCol w:w="1020"/>
    </w:tblGrid>
    <w:tr w:rsidR="00B07ACF" w:rsidRPr="00A244E7" w14:paraId="114C6ABC" w14:textId="77777777" w:rsidTr="003E0771">
      <w:tc>
        <w:tcPr>
          <w:tcW w:w="1020" w:type="dxa"/>
        </w:tcPr>
        <w:p w14:paraId="26881286" w14:textId="77777777" w:rsidR="00B07ACF" w:rsidRPr="00876C45" w:rsidRDefault="00B07ACF" w:rsidP="00876C45">
          <w:pPr>
            <w:pStyle w:val="llb"/>
            <w:spacing w:before="60" w:after="0"/>
            <w:jc w:val="right"/>
            <w:rPr>
              <w:sz w:val="20"/>
              <w:szCs w:val="20"/>
            </w:rPr>
          </w:pPr>
        </w:p>
      </w:tc>
      <w:tc>
        <w:tcPr>
          <w:tcW w:w="7143" w:type="dxa"/>
        </w:tcPr>
        <w:p w14:paraId="4D3B59A6" w14:textId="1A382574" w:rsidR="00B07ACF" w:rsidRPr="00876C45" w:rsidRDefault="00B07ACF" w:rsidP="00876C45">
          <w:pPr>
            <w:pStyle w:val="llb"/>
            <w:tabs>
              <w:tab w:val="clear" w:pos="4536"/>
              <w:tab w:val="clear" w:pos="9072"/>
            </w:tabs>
            <w:spacing w:after="0"/>
            <w:jc w:val="center"/>
            <w:rPr>
              <w:rFonts w:eastAsia="SimSun" w:cs="Aharoni"/>
              <w:sz w:val="16"/>
              <w:szCs w:val="16"/>
            </w:rPr>
          </w:pPr>
          <w:r>
            <w:rPr>
              <w:rFonts w:eastAsia="SimSun" w:cs="Aharoni"/>
              <w:b/>
              <w:sz w:val="16"/>
              <w:szCs w:val="16"/>
            </w:rPr>
            <w:t>Fodor István egyéni vállalkozó</w:t>
          </w:r>
          <w:r w:rsidRPr="00876C45">
            <w:rPr>
              <w:rFonts w:eastAsia="SimSun" w:cs="Aharoni"/>
              <w:b/>
              <w:sz w:val="16"/>
              <w:szCs w:val="16"/>
            </w:rPr>
            <w:t xml:space="preserve">. </w:t>
          </w:r>
          <w:r>
            <w:rPr>
              <w:rFonts w:eastAsia="SimSun" w:cs="Aharoni"/>
              <w:sz w:val="16"/>
              <w:szCs w:val="16"/>
            </w:rPr>
            <w:t>–</w:t>
          </w:r>
          <w:r w:rsidRPr="00876C45">
            <w:rPr>
              <w:rFonts w:eastAsia="SimSun" w:cs="Aharoni"/>
              <w:sz w:val="16"/>
              <w:szCs w:val="16"/>
            </w:rPr>
            <w:t xml:space="preserve"> </w:t>
          </w:r>
          <w:r>
            <w:rPr>
              <w:rFonts w:eastAsia="SimSun" w:cs="Aharoni"/>
              <w:sz w:val="16"/>
              <w:szCs w:val="16"/>
            </w:rPr>
            <w:t>6080 Szabadszállás, Nefelejcs utca 4.</w:t>
          </w:r>
          <w:r w:rsidRPr="00876C45">
            <w:rPr>
              <w:rFonts w:eastAsia="SimSun" w:cs="Aharoni"/>
              <w:sz w:val="16"/>
              <w:szCs w:val="16"/>
            </w:rPr>
            <w:t xml:space="preserve"> </w:t>
          </w:r>
          <w:r>
            <w:rPr>
              <w:rFonts w:eastAsia="SimSun" w:cs="Aharoni"/>
              <w:sz w:val="16"/>
              <w:szCs w:val="16"/>
            </w:rPr>
            <w:t>–</w:t>
          </w:r>
          <w:r w:rsidRPr="00876C45">
            <w:rPr>
              <w:rFonts w:eastAsia="SimSun" w:cs="Aharoni"/>
              <w:sz w:val="16"/>
              <w:szCs w:val="16"/>
            </w:rPr>
            <w:t xml:space="preserve"> </w:t>
          </w:r>
          <w:r w:rsidR="003E0771">
            <w:rPr>
              <w:rFonts w:eastAsia="SimSun" w:cs="Aharoni"/>
              <w:sz w:val="16"/>
              <w:szCs w:val="16"/>
            </w:rPr>
            <w:t>kornyezetvedelmiterv</w:t>
          </w:r>
          <w:r>
            <w:rPr>
              <w:rFonts w:eastAsia="SimSun" w:cs="Aharoni"/>
              <w:sz w:val="16"/>
              <w:szCs w:val="16"/>
            </w:rPr>
            <w:t>@gmail.com</w:t>
          </w:r>
        </w:p>
        <w:p w14:paraId="78EB0D44" w14:textId="77777777" w:rsidR="00B07ACF" w:rsidRPr="00876C45" w:rsidRDefault="00B07ACF" w:rsidP="00876C45">
          <w:pPr>
            <w:pStyle w:val="llb"/>
            <w:spacing w:after="0"/>
            <w:jc w:val="center"/>
            <w:rPr>
              <w:sz w:val="20"/>
              <w:szCs w:val="20"/>
            </w:rPr>
          </w:pPr>
          <w:r>
            <w:rPr>
              <w:sz w:val="20"/>
              <w:szCs w:val="20"/>
            </w:rPr>
            <w:t>MUNKAVÉDELEM – TŰZVÉDELEM - KÖRNYEZETVÉDELEM</w:t>
          </w:r>
        </w:p>
      </w:tc>
      <w:tc>
        <w:tcPr>
          <w:tcW w:w="1020" w:type="dxa"/>
        </w:tcPr>
        <w:p w14:paraId="6C68F358" w14:textId="77777777" w:rsidR="00B07ACF" w:rsidRPr="00A244E7" w:rsidRDefault="00B07ACF" w:rsidP="004B18CE">
          <w:pPr>
            <w:pStyle w:val="llb"/>
            <w:spacing w:after="0"/>
            <w:jc w:val="right"/>
            <w:rPr>
              <w:sz w:val="16"/>
              <w:szCs w:val="20"/>
            </w:rPr>
          </w:pPr>
          <w:r w:rsidRPr="00A244E7">
            <w:rPr>
              <w:b/>
              <w:sz w:val="16"/>
              <w:szCs w:val="20"/>
            </w:rPr>
            <w:fldChar w:fldCharType="begin"/>
          </w:r>
          <w:r w:rsidRPr="00A244E7">
            <w:rPr>
              <w:b/>
              <w:sz w:val="16"/>
              <w:szCs w:val="20"/>
            </w:rPr>
            <w:instrText>PAGE  \* Arabic  \* MERGEFORMAT</w:instrText>
          </w:r>
          <w:r w:rsidRPr="00A244E7">
            <w:rPr>
              <w:b/>
              <w:sz w:val="16"/>
              <w:szCs w:val="20"/>
            </w:rPr>
            <w:fldChar w:fldCharType="separate"/>
          </w:r>
          <w:r w:rsidR="0003368C" w:rsidRPr="0003368C">
            <w:rPr>
              <w:noProof/>
              <w:sz w:val="16"/>
              <w:szCs w:val="20"/>
            </w:rPr>
            <w:t>2</w:t>
          </w:r>
          <w:r w:rsidRPr="00A244E7">
            <w:rPr>
              <w:b/>
              <w:sz w:val="16"/>
              <w:szCs w:val="20"/>
            </w:rPr>
            <w:fldChar w:fldCharType="end"/>
          </w:r>
          <w:r w:rsidRPr="00A244E7">
            <w:rPr>
              <w:sz w:val="16"/>
              <w:szCs w:val="20"/>
            </w:rPr>
            <w:t xml:space="preserve"> / </w:t>
          </w:r>
          <w:r w:rsidRPr="00A244E7">
            <w:rPr>
              <w:b/>
              <w:sz w:val="16"/>
              <w:szCs w:val="20"/>
            </w:rPr>
            <w:fldChar w:fldCharType="begin"/>
          </w:r>
          <w:r w:rsidRPr="00A244E7">
            <w:rPr>
              <w:b/>
              <w:sz w:val="16"/>
              <w:szCs w:val="20"/>
            </w:rPr>
            <w:instrText>NUMPAGES  \* Arabic  \* MERGEFORMAT</w:instrText>
          </w:r>
          <w:r w:rsidRPr="00A244E7">
            <w:rPr>
              <w:b/>
              <w:sz w:val="16"/>
              <w:szCs w:val="20"/>
            </w:rPr>
            <w:fldChar w:fldCharType="separate"/>
          </w:r>
          <w:r w:rsidR="0003368C" w:rsidRPr="0003368C">
            <w:rPr>
              <w:noProof/>
              <w:sz w:val="16"/>
              <w:szCs w:val="20"/>
            </w:rPr>
            <w:t>59</w:t>
          </w:r>
          <w:r w:rsidRPr="00A244E7">
            <w:rPr>
              <w:b/>
              <w:sz w:val="16"/>
              <w:szCs w:val="20"/>
            </w:rPr>
            <w:fldChar w:fldCharType="end"/>
          </w:r>
        </w:p>
      </w:tc>
    </w:tr>
  </w:tbl>
  <w:p w14:paraId="3BA77A33" w14:textId="77777777" w:rsidR="00B07ACF" w:rsidRPr="0042657D" w:rsidRDefault="00B07ACF" w:rsidP="00876C45">
    <w:pPr>
      <w:pStyle w:val="llb"/>
      <w:spacing w:after="0"/>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Fekvtblzat"/>
      <w:tblW w:w="0" w:type="auto"/>
      <w:tblLayout w:type="fixed"/>
      <w:tblLook w:val="04A0" w:firstRow="1" w:lastRow="0" w:firstColumn="1" w:lastColumn="0" w:noHBand="0" w:noVBand="1"/>
    </w:tblPr>
    <w:tblGrid>
      <w:gridCol w:w="3402"/>
      <w:gridCol w:w="2415"/>
      <w:gridCol w:w="3402"/>
    </w:tblGrid>
    <w:tr w:rsidR="00B07ACF" w:rsidRPr="00D42B8C" w14:paraId="1B662210" w14:textId="77777777" w:rsidTr="00CF15CE">
      <w:trPr>
        <w:cnfStyle w:val="100000000000" w:firstRow="1" w:lastRow="0" w:firstColumn="0" w:lastColumn="0" w:oddVBand="0" w:evenVBand="0" w:oddHBand="0" w:evenHBand="0" w:firstRowFirstColumn="0" w:firstRowLastColumn="0" w:lastRowFirstColumn="0" w:lastRowLastColumn="0"/>
      </w:trPr>
      <w:tc>
        <w:tcPr>
          <w:tcW w:w="3402" w:type="dxa"/>
        </w:tcPr>
        <w:p w14:paraId="48E40DCA" w14:textId="77777777" w:rsidR="00B07ACF" w:rsidRPr="00D42B8C" w:rsidRDefault="00B07ACF" w:rsidP="0015742A">
          <w:pPr>
            <w:spacing w:before="60" w:after="60"/>
            <w:jc w:val="center"/>
            <w:rPr>
              <w:i/>
              <w:szCs w:val="32"/>
            </w:rPr>
          </w:pPr>
          <w:r w:rsidRPr="00D42B8C">
            <w:rPr>
              <w:i/>
              <w:szCs w:val="32"/>
            </w:rPr>
            <w:t>Dokumentum készítője:</w:t>
          </w:r>
        </w:p>
      </w:tc>
      <w:tc>
        <w:tcPr>
          <w:tcW w:w="2415" w:type="dxa"/>
        </w:tcPr>
        <w:p w14:paraId="6FF1D48C" w14:textId="77777777" w:rsidR="00B07ACF" w:rsidRPr="00D42B8C" w:rsidRDefault="00B07ACF" w:rsidP="0015742A">
          <w:pPr>
            <w:spacing w:before="60" w:after="60"/>
            <w:jc w:val="center"/>
            <w:rPr>
              <w:i/>
              <w:szCs w:val="32"/>
            </w:rPr>
          </w:pPr>
          <w:r w:rsidRPr="00D42B8C">
            <w:rPr>
              <w:i/>
              <w:szCs w:val="32"/>
            </w:rPr>
            <w:t>Készítés dátuma:</w:t>
          </w:r>
        </w:p>
      </w:tc>
      <w:tc>
        <w:tcPr>
          <w:tcW w:w="3402" w:type="dxa"/>
        </w:tcPr>
        <w:p w14:paraId="2B73FAB8" w14:textId="77777777" w:rsidR="00B07ACF" w:rsidRPr="00D42B8C" w:rsidRDefault="00B07ACF" w:rsidP="0015742A">
          <w:pPr>
            <w:spacing w:before="60" w:after="60"/>
            <w:jc w:val="center"/>
            <w:rPr>
              <w:i/>
              <w:szCs w:val="32"/>
            </w:rPr>
          </w:pPr>
          <w:r w:rsidRPr="00D42B8C">
            <w:rPr>
              <w:i/>
              <w:szCs w:val="32"/>
            </w:rPr>
            <w:t>Dokumentum azonosítója:</w:t>
          </w:r>
        </w:p>
      </w:tc>
    </w:tr>
    <w:tr w:rsidR="00B07ACF" w14:paraId="0A5FEA8C" w14:textId="77777777" w:rsidTr="00CF15CE">
      <w:tc>
        <w:tcPr>
          <w:tcW w:w="3402" w:type="dxa"/>
        </w:tcPr>
        <w:p w14:paraId="50541ED6" w14:textId="77777777" w:rsidR="00857033" w:rsidRPr="00D42B8C" w:rsidRDefault="00857033" w:rsidP="00857033">
          <w:pPr>
            <w:spacing w:before="120" w:after="0"/>
            <w:jc w:val="left"/>
            <w:rPr>
              <w:b/>
              <w:szCs w:val="32"/>
            </w:rPr>
          </w:pPr>
          <w:r w:rsidRPr="00E7749B">
            <w:rPr>
              <w:b/>
              <w:szCs w:val="32"/>
            </w:rPr>
            <w:t>Safety For All Kft.</w:t>
          </w:r>
        </w:p>
        <w:p w14:paraId="462FE3DD" w14:textId="77777777" w:rsidR="00857033" w:rsidRDefault="00857033" w:rsidP="00857033">
          <w:pPr>
            <w:spacing w:after="0"/>
            <w:jc w:val="left"/>
            <w:rPr>
              <w:szCs w:val="32"/>
            </w:rPr>
          </w:pPr>
          <w:r w:rsidRPr="00E7749B">
            <w:rPr>
              <w:szCs w:val="32"/>
            </w:rPr>
            <w:t>2100 Gödöllő, Szent János utca 12. A. lház. 4. em. 12. ajtó</w:t>
          </w:r>
        </w:p>
        <w:p w14:paraId="3645733F" w14:textId="77777777" w:rsidR="00857033" w:rsidRDefault="00857033" w:rsidP="00857033">
          <w:pPr>
            <w:spacing w:after="0"/>
            <w:jc w:val="left"/>
            <w:rPr>
              <w:szCs w:val="32"/>
            </w:rPr>
          </w:pPr>
          <w:r>
            <w:rPr>
              <w:szCs w:val="32"/>
            </w:rPr>
            <w:t>kornyezetvedelmiterv@gmail.com</w:t>
          </w:r>
        </w:p>
        <w:p w14:paraId="536485C3" w14:textId="21630930" w:rsidR="00B07ACF" w:rsidRDefault="00857033" w:rsidP="00857033">
          <w:pPr>
            <w:jc w:val="left"/>
            <w:rPr>
              <w:szCs w:val="32"/>
            </w:rPr>
          </w:pPr>
          <w:r>
            <w:rPr>
              <w:szCs w:val="32"/>
            </w:rPr>
            <w:t>+36 (30) 3829849</w:t>
          </w:r>
        </w:p>
      </w:tc>
      <w:sdt>
        <w:sdtPr>
          <w:rPr>
            <w:szCs w:val="32"/>
          </w:rPr>
          <w:id w:val="-834154001"/>
          <w:placeholder>
            <w:docPart w:val="48B7B219E7FE45929428FF60E12F2CF5"/>
          </w:placeholder>
          <w:date w:fullDate="2026-05-22T00:00:00Z">
            <w:dateFormat w:val="yyyy. MMMM d."/>
            <w:lid w:val="hu-HU"/>
            <w:storeMappedDataAs w:val="dateTime"/>
            <w:calendar w:val="gregorian"/>
          </w:date>
        </w:sdtPr>
        <w:sdtContent>
          <w:tc>
            <w:tcPr>
              <w:tcW w:w="2415" w:type="dxa"/>
            </w:tcPr>
            <w:p w14:paraId="526C6A7F" w14:textId="76988D03" w:rsidR="00B07ACF" w:rsidRDefault="0039160B" w:rsidP="00EE2B46">
              <w:pPr>
                <w:spacing w:after="0"/>
                <w:jc w:val="center"/>
                <w:rPr>
                  <w:szCs w:val="32"/>
                </w:rPr>
              </w:pPr>
              <w:r>
                <w:rPr>
                  <w:szCs w:val="32"/>
                </w:rPr>
                <w:t>2026. május 22.</w:t>
              </w:r>
            </w:p>
          </w:tc>
        </w:sdtContent>
      </w:sdt>
      <w:tc>
        <w:tcPr>
          <w:tcW w:w="3402" w:type="dxa"/>
        </w:tcPr>
        <w:p w14:paraId="243E701E" w14:textId="0AFA48A5" w:rsidR="00B07ACF" w:rsidRDefault="00857033" w:rsidP="00EE2B46">
          <w:pPr>
            <w:spacing w:after="0"/>
            <w:jc w:val="center"/>
            <w:rPr>
              <w:szCs w:val="32"/>
            </w:rPr>
          </w:pPr>
          <w:r>
            <w:rPr>
              <w:szCs w:val="32"/>
            </w:rPr>
            <w:t>S4A</w:t>
          </w:r>
          <w:r w:rsidR="003F4D4D">
            <w:rPr>
              <w:szCs w:val="32"/>
            </w:rPr>
            <w:t>/</w:t>
          </w:r>
          <w:sdt>
            <w:sdtPr>
              <w:rPr>
                <w:szCs w:val="32"/>
              </w:rPr>
              <w:alias w:val="Év"/>
              <w:tag w:val="Év"/>
              <w:id w:val="402493271"/>
              <w:text/>
            </w:sdtPr>
            <w:sdtContent>
              <w:r w:rsidR="00B96228">
                <w:rPr>
                  <w:szCs w:val="32"/>
                </w:rPr>
                <w:t>202</w:t>
              </w:r>
              <w:r w:rsidR="0039160B">
                <w:rPr>
                  <w:szCs w:val="32"/>
                </w:rPr>
                <w:t>6052</w:t>
              </w:r>
              <w:r w:rsidR="0002678A">
                <w:rPr>
                  <w:szCs w:val="32"/>
                </w:rPr>
                <w:t>2</w:t>
              </w:r>
            </w:sdtContent>
          </w:sdt>
          <w:r w:rsidR="00B07ACF">
            <w:rPr>
              <w:szCs w:val="32"/>
            </w:rPr>
            <w:t>/</w:t>
          </w:r>
          <w:sdt>
            <w:sdtPr>
              <w:rPr>
                <w:szCs w:val="32"/>
              </w:rPr>
              <w:alias w:val="Munkaszám"/>
              <w:tag w:val="Munkaszám"/>
              <w:id w:val="1766104252"/>
              <w:text/>
            </w:sdtPr>
            <w:sdtContent>
              <w:r w:rsidR="00B96228">
                <w:rPr>
                  <w:szCs w:val="32"/>
                </w:rPr>
                <w:t>0</w:t>
              </w:r>
              <w:r w:rsidR="004A3178">
                <w:rPr>
                  <w:szCs w:val="32"/>
                </w:rPr>
                <w:t>4</w:t>
              </w:r>
            </w:sdtContent>
          </w:sdt>
        </w:p>
      </w:tc>
    </w:tr>
  </w:tbl>
  <w:p w14:paraId="1CB5A074" w14:textId="77777777" w:rsidR="00B07ACF" w:rsidRDefault="00B07ACF">
    <w:pPr>
      <w:pStyle w:val="ll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A4E2F" w14:textId="77777777" w:rsidR="00D91898" w:rsidRDefault="00D91898" w:rsidP="00D91898">
    <w:pPr>
      <w:spacing w:after="0"/>
      <w:jc w:val="center"/>
      <w:rPr>
        <w:sz w:val="20"/>
      </w:rPr>
    </w:pPr>
  </w:p>
  <w:p w14:paraId="15964269" w14:textId="77777777" w:rsidR="00D91898" w:rsidRPr="00876C45" w:rsidRDefault="00D91898" w:rsidP="00D91898">
    <w:pPr>
      <w:pBdr>
        <w:top w:val="single" w:sz="4" w:space="1" w:color="auto"/>
      </w:pBdr>
      <w:spacing w:after="0"/>
      <w:jc w:val="center"/>
      <w:rPr>
        <w:sz w:val="20"/>
      </w:rPr>
    </w:pPr>
  </w:p>
  <w:tbl>
    <w:tblPr>
      <w:tblW w:w="9184" w:type="dxa"/>
      <w:jc w:val="center"/>
      <w:tblLook w:val="04A0" w:firstRow="1" w:lastRow="0" w:firstColumn="1" w:lastColumn="0" w:noHBand="0" w:noVBand="1"/>
    </w:tblPr>
    <w:tblGrid>
      <w:gridCol w:w="737"/>
      <w:gridCol w:w="7710"/>
      <w:gridCol w:w="737"/>
    </w:tblGrid>
    <w:tr w:rsidR="00D91898" w:rsidRPr="00A244E7" w14:paraId="69B27A5B" w14:textId="77777777" w:rsidTr="00A459CB">
      <w:trPr>
        <w:jc w:val="center"/>
      </w:trPr>
      <w:tc>
        <w:tcPr>
          <w:tcW w:w="737" w:type="dxa"/>
        </w:tcPr>
        <w:p w14:paraId="407E67BF" w14:textId="77777777" w:rsidR="00D91898" w:rsidRPr="00876C45" w:rsidRDefault="00D91898" w:rsidP="00D91898">
          <w:pPr>
            <w:pStyle w:val="llb"/>
            <w:spacing w:before="60" w:after="0"/>
            <w:jc w:val="right"/>
            <w:rPr>
              <w:sz w:val="20"/>
              <w:szCs w:val="20"/>
            </w:rPr>
          </w:pPr>
        </w:p>
      </w:tc>
      <w:tc>
        <w:tcPr>
          <w:tcW w:w="7710" w:type="dxa"/>
        </w:tcPr>
        <w:p w14:paraId="4C5EEDAB" w14:textId="77777777" w:rsidR="00D91898" w:rsidRPr="00876C45" w:rsidRDefault="00D91898" w:rsidP="00D91898">
          <w:pPr>
            <w:pStyle w:val="llb"/>
            <w:tabs>
              <w:tab w:val="clear" w:pos="4536"/>
              <w:tab w:val="clear" w:pos="9072"/>
            </w:tabs>
            <w:spacing w:after="0"/>
            <w:jc w:val="center"/>
            <w:rPr>
              <w:rFonts w:eastAsia="SimSun" w:cs="Aharoni"/>
              <w:sz w:val="16"/>
              <w:szCs w:val="16"/>
            </w:rPr>
          </w:pPr>
          <w:r w:rsidRPr="000E2F6C">
            <w:rPr>
              <w:rFonts w:eastAsia="SimSun" w:cs="Aharoni"/>
              <w:b/>
              <w:sz w:val="16"/>
              <w:szCs w:val="16"/>
            </w:rPr>
            <w:t>Safety For All Kft.</w:t>
          </w:r>
          <w:r>
            <w:rPr>
              <w:rFonts w:eastAsia="SimSun" w:cs="Aharoni"/>
              <w:b/>
              <w:sz w:val="16"/>
              <w:szCs w:val="16"/>
            </w:rPr>
            <w:t xml:space="preserve"> </w:t>
          </w:r>
          <w:r>
            <w:rPr>
              <w:rFonts w:eastAsia="SimSun" w:cs="Aharoni"/>
              <w:sz w:val="16"/>
              <w:szCs w:val="16"/>
            </w:rPr>
            <w:t>–</w:t>
          </w:r>
          <w:r w:rsidRPr="00876C45">
            <w:rPr>
              <w:rFonts w:eastAsia="SimSun" w:cs="Aharoni"/>
              <w:sz w:val="16"/>
              <w:szCs w:val="16"/>
            </w:rPr>
            <w:t xml:space="preserve"> </w:t>
          </w:r>
          <w:r>
            <w:rPr>
              <w:rFonts w:eastAsia="SimSun" w:cs="Aharoni"/>
              <w:sz w:val="16"/>
              <w:szCs w:val="16"/>
            </w:rPr>
            <w:t>kornyezetvedelmiterv@gmail.com</w:t>
          </w:r>
        </w:p>
        <w:p w14:paraId="70D08672" w14:textId="77777777" w:rsidR="00D91898" w:rsidRPr="00876C45" w:rsidRDefault="00D91898" w:rsidP="00D91898">
          <w:pPr>
            <w:pStyle w:val="llb"/>
            <w:spacing w:after="0"/>
            <w:jc w:val="center"/>
            <w:rPr>
              <w:sz w:val="20"/>
              <w:szCs w:val="20"/>
            </w:rPr>
          </w:pPr>
          <w:r>
            <w:rPr>
              <w:sz w:val="20"/>
              <w:szCs w:val="20"/>
            </w:rPr>
            <w:t>MUNKAVÉDELEM – TŰZVÉDELEM – KÖRNYEZETVÉDELEM – KLÍMAVÉDELEM</w:t>
          </w:r>
        </w:p>
      </w:tc>
      <w:tc>
        <w:tcPr>
          <w:tcW w:w="737" w:type="dxa"/>
        </w:tcPr>
        <w:p w14:paraId="0AC2AEA4" w14:textId="77777777" w:rsidR="00D91898" w:rsidRPr="00A244E7" w:rsidRDefault="00D91898" w:rsidP="00D91898">
          <w:pPr>
            <w:pStyle w:val="llb"/>
            <w:spacing w:after="0"/>
            <w:jc w:val="right"/>
            <w:rPr>
              <w:sz w:val="16"/>
              <w:szCs w:val="20"/>
            </w:rPr>
          </w:pPr>
          <w:r w:rsidRPr="00A244E7">
            <w:rPr>
              <w:b/>
              <w:sz w:val="16"/>
              <w:szCs w:val="20"/>
            </w:rPr>
            <w:fldChar w:fldCharType="begin"/>
          </w:r>
          <w:r w:rsidRPr="00A244E7">
            <w:rPr>
              <w:b/>
              <w:sz w:val="16"/>
              <w:szCs w:val="20"/>
            </w:rPr>
            <w:instrText>PAGE  \* Arabic  \* MERGEFORMAT</w:instrText>
          </w:r>
          <w:r w:rsidRPr="00A244E7">
            <w:rPr>
              <w:b/>
              <w:sz w:val="16"/>
              <w:szCs w:val="20"/>
            </w:rPr>
            <w:fldChar w:fldCharType="separate"/>
          </w:r>
          <w:r>
            <w:rPr>
              <w:b/>
              <w:sz w:val="16"/>
              <w:szCs w:val="20"/>
            </w:rPr>
            <w:t>2</w:t>
          </w:r>
          <w:r w:rsidRPr="00A244E7">
            <w:rPr>
              <w:b/>
              <w:sz w:val="16"/>
              <w:szCs w:val="20"/>
            </w:rPr>
            <w:fldChar w:fldCharType="end"/>
          </w:r>
          <w:r w:rsidRPr="00A244E7">
            <w:rPr>
              <w:sz w:val="16"/>
              <w:szCs w:val="20"/>
            </w:rPr>
            <w:t xml:space="preserve"> / </w:t>
          </w:r>
          <w:r w:rsidRPr="00A244E7">
            <w:rPr>
              <w:b/>
              <w:sz w:val="16"/>
              <w:szCs w:val="20"/>
            </w:rPr>
            <w:fldChar w:fldCharType="begin"/>
          </w:r>
          <w:r w:rsidRPr="00A244E7">
            <w:rPr>
              <w:b/>
              <w:sz w:val="16"/>
              <w:szCs w:val="20"/>
            </w:rPr>
            <w:instrText>NUMPAGES  \* Arabic  \* MERGEFORMAT</w:instrText>
          </w:r>
          <w:r w:rsidRPr="00A244E7">
            <w:rPr>
              <w:b/>
              <w:sz w:val="16"/>
              <w:szCs w:val="20"/>
            </w:rPr>
            <w:fldChar w:fldCharType="separate"/>
          </w:r>
          <w:r>
            <w:rPr>
              <w:b/>
              <w:sz w:val="16"/>
              <w:szCs w:val="20"/>
            </w:rPr>
            <w:t>59</w:t>
          </w:r>
          <w:r w:rsidRPr="00A244E7">
            <w:rPr>
              <w:b/>
              <w:sz w:val="16"/>
              <w:szCs w:val="20"/>
            </w:rPr>
            <w:fldChar w:fldCharType="end"/>
          </w:r>
        </w:p>
      </w:tc>
    </w:tr>
  </w:tbl>
  <w:p w14:paraId="7F0CD869" w14:textId="77777777" w:rsidR="00D91898" w:rsidRPr="0042657D" w:rsidRDefault="00D91898" w:rsidP="00D91898">
    <w:pPr>
      <w:pStyle w:val="llb"/>
      <w:spacing w:after="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C28AE" w14:textId="77777777" w:rsidR="00CC2356" w:rsidRDefault="00CC2356">
      <w:r>
        <w:separator/>
      </w:r>
    </w:p>
  </w:footnote>
  <w:footnote w:type="continuationSeparator" w:id="0">
    <w:p w14:paraId="65EF2D8A" w14:textId="77777777" w:rsidR="00CC2356" w:rsidRDefault="00CC2356">
      <w:r>
        <w:continuationSeparator/>
      </w:r>
    </w:p>
  </w:footnote>
  <w:footnote w:id="1">
    <w:p w14:paraId="6FD05EF4" w14:textId="509AEF0C" w:rsidR="00606479" w:rsidRDefault="00606479">
      <w:pPr>
        <w:pStyle w:val="Lbjegyzetszveg"/>
      </w:pPr>
      <w:r>
        <w:rPr>
          <w:rStyle w:val="Lbjegyzet-hivatkozs"/>
        </w:rPr>
        <w:footnoteRef/>
      </w:r>
      <w:r>
        <w:t xml:space="preserve"> </w:t>
      </w:r>
      <w:r w:rsidRPr="00606479">
        <w:rPr>
          <w:i/>
          <w:iCs/>
        </w:rPr>
        <w:t>Az Európai Parlament és a Tanács (EU) 2021/1119 rendelete (2021. június 30.) a klímasemlegesség elérését célzó keret létrehozásáról /Európai klímavédelmi törvény/</w:t>
      </w:r>
    </w:p>
  </w:footnote>
  <w:footnote w:id="2">
    <w:p w14:paraId="2105A8A4" w14:textId="7D1EBAA6" w:rsidR="00D720ED" w:rsidRDefault="00D720ED">
      <w:pPr>
        <w:pStyle w:val="Lbjegyzetszveg"/>
      </w:pPr>
      <w:r>
        <w:rPr>
          <w:rStyle w:val="Lbjegyzet-hivatkozs"/>
        </w:rPr>
        <w:footnoteRef/>
      </w:r>
      <w:r>
        <w:t xml:space="preserve"> </w:t>
      </w:r>
      <w:r w:rsidRPr="00606479">
        <w:rPr>
          <w:i/>
          <w:iCs/>
        </w:rPr>
        <w:t>Európai Bizottság (2019): Az európai zöld megállapodás. COM(2019) 640 final</w:t>
      </w:r>
    </w:p>
  </w:footnote>
  <w:footnote w:id="3">
    <w:p w14:paraId="4EBA09C8" w14:textId="5A151657" w:rsidR="00D720ED" w:rsidRDefault="00D720ED">
      <w:pPr>
        <w:pStyle w:val="Lbjegyzetszveg"/>
      </w:pPr>
      <w:r>
        <w:rPr>
          <w:rStyle w:val="Lbjegyzet-hivatkozs"/>
        </w:rPr>
        <w:footnoteRef/>
      </w:r>
      <w:r>
        <w:t xml:space="preserve"> </w:t>
      </w:r>
      <w:r w:rsidRPr="00606479">
        <w:rPr>
          <w:i/>
          <w:iCs/>
        </w:rPr>
        <w:t>Európai Bizottság (2020): Uniós stratégia a metánkibocsátás csökkentésére. COM(2020) 663 final</w:t>
      </w:r>
    </w:p>
  </w:footnote>
  <w:footnote w:id="4">
    <w:p w14:paraId="0CA357A5" w14:textId="7869C761" w:rsidR="00D720ED" w:rsidRDefault="00D720ED">
      <w:pPr>
        <w:pStyle w:val="Lbjegyzetszveg"/>
      </w:pPr>
      <w:r>
        <w:rPr>
          <w:rStyle w:val="Lbjegyzet-hivatkozs"/>
        </w:rPr>
        <w:footnoteRef/>
      </w:r>
      <w:r>
        <w:t xml:space="preserve"> </w:t>
      </w:r>
      <w:r w:rsidRPr="00606479">
        <w:rPr>
          <w:i/>
          <w:iCs/>
        </w:rPr>
        <w:t>Európai Bizottság (2020): „A termelőtől az asztalig” stratégia a méltányos, egészséges és környezetbarát élelmiszerrendszerért. COM(2020) 381 final</w:t>
      </w:r>
    </w:p>
  </w:footnote>
  <w:footnote w:id="5">
    <w:p w14:paraId="3ED3093D" w14:textId="5B1D7E06" w:rsidR="00CC3A1F" w:rsidRDefault="00CC3A1F">
      <w:pPr>
        <w:pStyle w:val="Lbjegyzetszveg"/>
      </w:pPr>
      <w:r>
        <w:rPr>
          <w:rStyle w:val="Lbjegyzet-hivatkozs"/>
        </w:rPr>
        <w:footnoteRef/>
      </w:r>
      <w:r>
        <w:t xml:space="preserve"> </w:t>
      </w:r>
      <w:r w:rsidRPr="00606479">
        <w:rPr>
          <w:i/>
          <w:iCs/>
        </w:rPr>
        <w:t>Európai Bizottság (2021): A klímaváltozás hatásaival szemben ellenálló Európa kialakítása – Az éghajlatváltozáshoz való alkalmazkodásra vonatkozó új uniós stratégia. COM(2021) 82 final</w:t>
      </w:r>
    </w:p>
  </w:footnote>
  <w:footnote w:id="6">
    <w:p w14:paraId="2FB74EDB" w14:textId="6218D10D" w:rsidR="00CC3A1F" w:rsidRDefault="00CC3A1F">
      <w:pPr>
        <w:pStyle w:val="Lbjegyzetszveg"/>
      </w:pPr>
      <w:r>
        <w:rPr>
          <w:rStyle w:val="Lbjegyzet-hivatkozs"/>
        </w:rPr>
        <w:footnoteRef/>
      </w:r>
      <w:r>
        <w:t xml:space="preserve"> </w:t>
      </w:r>
      <w:r w:rsidRPr="00CC3A1F">
        <w:t>2020. évi XLIV. törvény a klímavédelemről. Magyar Közlöny, 2020. évi 131. szám</w:t>
      </w:r>
    </w:p>
  </w:footnote>
  <w:footnote w:id="7">
    <w:p w14:paraId="74FBC221" w14:textId="4CD4BD24" w:rsidR="00D12FC5" w:rsidRDefault="00D12FC5">
      <w:pPr>
        <w:pStyle w:val="Lbjegyzetszveg"/>
      </w:pPr>
      <w:r>
        <w:rPr>
          <w:rStyle w:val="Lbjegyzet-hivatkozs"/>
        </w:rPr>
        <w:footnoteRef/>
      </w:r>
      <w:r>
        <w:t xml:space="preserve"> 23/2018. (X. 31.) OGY határozat a második Nemzeti Éghajlatváltozási Stratégiáról</w:t>
      </w:r>
    </w:p>
  </w:footnote>
  <w:footnote w:id="8">
    <w:p w14:paraId="05178A9C" w14:textId="71274D6B" w:rsidR="0001738C" w:rsidRDefault="0001738C">
      <w:pPr>
        <w:pStyle w:val="Lbjegyzetszveg"/>
      </w:pPr>
      <w:r>
        <w:rPr>
          <w:rStyle w:val="Lbjegyzet-hivatkozs"/>
        </w:rPr>
        <w:footnoteRef/>
      </w:r>
      <w:r>
        <w:t xml:space="preserve"> Innovációs és Technológiai Minisztérium (2020): Magyarország Nemzeti Energia- és Klímaterve. Budapest</w:t>
      </w:r>
    </w:p>
  </w:footnote>
  <w:footnote w:id="9">
    <w:p w14:paraId="401B942E" w14:textId="0A42ADC9" w:rsidR="0001738C" w:rsidRDefault="0001738C">
      <w:pPr>
        <w:pStyle w:val="Lbjegyzetszveg"/>
      </w:pPr>
      <w:r>
        <w:rPr>
          <w:rStyle w:val="Lbjegyzet-hivatkozs"/>
        </w:rPr>
        <w:footnoteRef/>
      </w:r>
      <w:r>
        <w:t xml:space="preserve"> Agrárminisztérium (2022): Magyarország KAP Stratégiai Terve a 2023–2027-es időszakra. Budapest</w:t>
      </w:r>
    </w:p>
  </w:footnote>
  <w:footnote w:id="10">
    <w:p w14:paraId="44140822" w14:textId="24EADBD8" w:rsidR="001C6715" w:rsidRDefault="001C6715">
      <w:pPr>
        <w:pStyle w:val="Lbjegyzetszveg"/>
      </w:pPr>
      <w:r>
        <w:rPr>
          <w:rStyle w:val="Lbjegyzet-hivatkozs"/>
        </w:rPr>
        <w:footnoteRef/>
      </w:r>
      <w:r>
        <w:t xml:space="preserve"> Az Európai Bizottság (EU) 2017/302 végrehajtási határozata az intenzív baromfi- vagy sertéstenyésztéssel kapcsolatos elérhető legjobb technikákkal /BAT/ kapcsolatos következtetések megállapításáról</w:t>
      </w:r>
    </w:p>
  </w:footnote>
  <w:footnote w:id="11">
    <w:p w14:paraId="6B164A21" w14:textId="6C8F2C9E" w:rsidR="001C6715" w:rsidRDefault="001C6715">
      <w:pPr>
        <w:pStyle w:val="Lbjegyzetszveg"/>
      </w:pPr>
      <w:r>
        <w:rPr>
          <w:rStyle w:val="Lbjegyzet-hivatkozs"/>
        </w:rPr>
        <w:footnoteRef/>
      </w:r>
      <w:r>
        <w:t xml:space="preserve"> EMEP/EEA (2019): Air pollutant emission inventory guidebook 2019. Technical guidance to prepare national emission inventories. EEA Report No 13/2019. valamint IPCC (2019): 2019 Refinement to the 2006 IPCC Guidelines for National Greenhouse Gas Inventories. Intergovernmental Panel on Climate Change</w:t>
      </w:r>
    </w:p>
  </w:footnote>
  <w:footnote w:id="12">
    <w:p w14:paraId="7181694A" w14:textId="4DE724E9" w:rsidR="009C77B2" w:rsidRDefault="009C77B2">
      <w:pPr>
        <w:pStyle w:val="Lbjegyzetszveg"/>
      </w:pPr>
      <w:r>
        <w:rPr>
          <w:rStyle w:val="Lbjegyzet-hivatkozs"/>
        </w:rPr>
        <w:footnoteRef/>
      </w:r>
      <w:r>
        <w:t xml:space="preserve"> </w:t>
      </w:r>
      <w:r w:rsidRPr="000B19AF">
        <w:rPr>
          <w:i/>
          <w:iCs/>
        </w:rPr>
        <w:t>Agrárminisztérium (2022): Magyarország KAP Stratégiai Terve a 2023–2027-es időszakra. Budapest</w:t>
      </w:r>
    </w:p>
  </w:footnote>
  <w:footnote w:id="13">
    <w:p w14:paraId="1802F9B1" w14:textId="2CFD09EC" w:rsidR="007D48C2" w:rsidRDefault="007D48C2">
      <w:pPr>
        <w:pStyle w:val="Lbjegyzetszveg"/>
      </w:pPr>
      <w:r>
        <w:rPr>
          <w:rStyle w:val="Lbjegyzet-hivatkozs"/>
        </w:rPr>
        <w:footnoteRef/>
      </w:r>
      <w:r>
        <w:t xml:space="preserve"> </w:t>
      </w:r>
      <w:r w:rsidRPr="007D48C2">
        <w:rPr>
          <w:i/>
          <w:iCs/>
        </w:rPr>
        <w:t>Guidelines for National Greenhouse Gas Inventories, Volume 4: Agriculture, Forestry and Other Land Use (AFOLU), Chapter 10 (Emissions from Livestock and Manure Management), Table 10.10.</w:t>
      </w:r>
    </w:p>
  </w:footnote>
  <w:footnote w:id="14">
    <w:p w14:paraId="45DF6B48" w14:textId="225694E8" w:rsidR="00781358" w:rsidRDefault="00781358">
      <w:pPr>
        <w:pStyle w:val="Lbjegyzetszveg"/>
      </w:pPr>
      <w:r>
        <w:rPr>
          <w:rStyle w:val="Lbjegyzet-hivatkozs"/>
        </w:rPr>
        <w:footnoteRef/>
      </w:r>
      <w:r>
        <w:t xml:space="preserve"> </w:t>
      </w:r>
      <w:r w:rsidRPr="00781358">
        <w:rPr>
          <w:b/>
          <w:bCs/>
        </w:rPr>
        <w:t>Myhre, G., D. Shindell, F.-M. Bréon, W. Collins, J. Fuglestvedt, J. Huang, D. Koch, J.-F. Lamarque, D. Lee, B. Mendoza, T. Nakajima, A. Robock, G. Stephens, T. Takemura and H. Zhang, 2013:</w:t>
      </w:r>
      <w:r w:rsidRPr="00781358">
        <w:t xml:space="preserve"> </w:t>
      </w:r>
      <w:r w:rsidRPr="00781358">
        <w:rPr>
          <w:i/>
          <w:iCs/>
        </w:rPr>
        <w:t>Anthropogenic and Natural Radiative Forcing.</w:t>
      </w:r>
      <w:r w:rsidRPr="00781358">
        <w:t xml:space="preserve"> In: </w:t>
      </w:r>
      <w:r w:rsidRPr="00781358">
        <w:rPr>
          <w:i/>
          <w:iCs/>
        </w:rPr>
        <w:t>Climate Change 2013: The Physical Science Basis. Contribution of Working Group I to the Fifth Assessment Report of the Intergovernmental Panel on Climate Change.</w:t>
      </w:r>
      <w:r w:rsidRPr="00781358">
        <w:t xml:space="preserve"> Cambridge University Press, Cambridge, United Kingdom and New York, NY, USA.</w:t>
      </w:r>
    </w:p>
  </w:footnote>
  <w:footnote w:id="15">
    <w:p w14:paraId="672A2BD5" w14:textId="50D933E4" w:rsidR="00A947FE" w:rsidRDefault="00A947FE">
      <w:pPr>
        <w:pStyle w:val="Lbjegyzetszveg"/>
      </w:pPr>
      <w:r>
        <w:rPr>
          <w:rStyle w:val="Lbjegyzet-hivatkozs"/>
        </w:rPr>
        <w:footnoteRef/>
      </w:r>
      <w:r>
        <w:t xml:space="preserve"> </w:t>
      </w:r>
      <w:r w:rsidRPr="00A947FE">
        <w:rPr>
          <w:b/>
          <w:bCs/>
        </w:rPr>
        <w:t>Myhre, G., D. Shindell, F.-M. Bréon, W. Collins, J. Fuglestvedt, J. Huang, D. Koch, J.-F. Lamarque, D. Lee, B. Mendoza, T. Nakajima, A. Robock, G. Stephens, T. Takemura and H. Zhang, 2013:</w:t>
      </w:r>
      <w:r w:rsidRPr="00A947FE">
        <w:t xml:space="preserve"> </w:t>
      </w:r>
      <w:r w:rsidRPr="00A947FE">
        <w:rPr>
          <w:i/>
          <w:iCs/>
        </w:rPr>
        <w:t>Anthropogenic and Natural Radiative Forcing.</w:t>
      </w:r>
      <w:r w:rsidRPr="00A947FE">
        <w:t xml:space="preserve"> In: </w:t>
      </w:r>
      <w:r w:rsidRPr="00A947FE">
        <w:rPr>
          <w:i/>
          <w:iCs/>
        </w:rPr>
        <w:t>Climate Change 2013: The Physical Science Basis. Contribution of Working Group I to the Fifth Assessment Report of the Intergovernmental Panel on Climate Change.</w:t>
      </w:r>
      <w:r w:rsidRPr="00A947FE">
        <w:t xml:space="preserve"> Cambridge University Press, Cambridge, United Kingdom and New York, NY, USA.</w:t>
      </w:r>
      <w:r>
        <w:t xml:space="preserve"> </w:t>
      </w:r>
      <w:r w:rsidRPr="00A947FE">
        <w:rPr>
          <w:b/>
          <w:bCs/>
        </w:rPr>
        <w:t>Table 8.A.1</w:t>
      </w:r>
      <w:r w:rsidRPr="00A947FE">
        <w:t xml:space="preserve"> (</w:t>
      </w:r>
      <w:r w:rsidRPr="00A947FE">
        <w:rPr>
          <w:i/>
          <w:iCs/>
        </w:rPr>
        <w:t>Lifetimes, radiative efficiencies and metric values</w:t>
      </w:r>
      <w:r w:rsidRPr="00A947FE">
        <w:t>)</w:t>
      </w:r>
    </w:p>
  </w:footnote>
  <w:footnote w:id="16">
    <w:p w14:paraId="3C8DC3D9" w14:textId="1CFA41EA" w:rsidR="00D81F41" w:rsidRDefault="00D81F41">
      <w:pPr>
        <w:pStyle w:val="Lbjegyzetszveg"/>
      </w:pPr>
      <w:r>
        <w:rPr>
          <w:rStyle w:val="Lbjegyzet-hivatkozs"/>
        </w:rPr>
        <w:footnoteRef/>
      </w:r>
      <w:r>
        <w:t xml:space="preserve"> </w:t>
      </w:r>
      <w:r w:rsidRPr="00D81F41">
        <w:rPr>
          <w:i/>
          <w:iCs/>
        </w:rPr>
        <w:t>IPCC, 2006: Guidelines for National Greenhouse Gas Inventories, Volume 2: Energy, Chapter 2: Stationary Combustion, Table 2.2</w:t>
      </w:r>
    </w:p>
  </w:footnote>
  <w:footnote w:id="17">
    <w:p w14:paraId="553A23EE" w14:textId="705A3300" w:rsidR="00D81F41" w:rsidRDefault="00D81F41">
      <w:pPr>
        <w:pStyle w:val="Lbjegyzetszveg"/>
      </w:pPr>
      <w:r>
        <w:rPr>
          <w:rStyle w:val="Lbjegyzet-hivatkozs"/>
        </w:rPr>
        <w:footnoteRef/>
      </w:r>
      <w:r>
        <w:t xml:space="preserve"> </w:t>
      </w:r>
      <w:r w:rsidRPr="00D81F41">
        <w:rPr>
          <w:i/>
          <w:iCs/>
        </w:rPr>
        <w:t>IPCC, 2013: Climate Change 2013: The Physical Science Basis. Fifth Assessment Report, Chapter 8, Table 8.A.1</w:t>
      </w:r>
    </w:p>
  </w:footnote>
  <w:footnote w:id="18">
    <w:p w14:paraId="3593CEC0" w14:textId="59F9351F" w:rsidR="00E468FF" w:rsidRDefault="00E468FF">
      <w:pPr>
        <w:pStyle w:val="Lbjegyzetszveg"/>
      </w:pPr>
      <w:r>
        <w:rPr>
          <w:rStyle w:val="Lbjegyzet-hivatkozs"/>
        </w:rPr>
        <w:footnoteRef/>
      </w:r>
      <w:r>
        <w:t xml:space="preserve"> </w:t>
      </w:r>
      <w:r w:rsidRPr="008A18CF">
        <w:rPr>
          <w:i/>
          <w:iCs/>
        </w:rPr>
        <w:t>IPCC, 2006: Guidelines for National Greenhouse Gas Inventories, Volume 4: Agriculture, Forestry and Other Land Use, Chapter 8: Settlements</w:t>
      </w:r>
    </w:p>
  </w:footnote>
  <w:footnote w:id="19">
    <w:p w14:paraId="06ED3303" w14:textId="1E18347A" w:rsidR="007B4796" w:rsidRDefault="007B4796">
      <w:pPr>
        <w:pStyle w:val="Lbjegyzetszveg"/>
      </w:pPr>
      <w:r>
        <w:rPr>
          <w:rStyle w:val="Lbjegyzet-hivatkozs"/>
        </w:rPr>
        <w:footnoteRef/>
      </w:r>
      <w:r>
        <w:t xml:space="preserve"> </w:t>
      </w:r>
      <w:r w:rsidRPr="007B4796">
        <w:rPr>
          <w:i/>
          <w:iCs/>
        </w:rPr>
        <w:t>IPCC, 2019: Refinement to the 2006 Guidelines for National Greenhouse Gas Inventories, Volume 4, Chapter 8: Settlements – Table 8.4: Urban Tree Biomass Growth Rates</w:t>
      </w:r>
    </w:p>
  </w:footnote>
  <w:footnote w:id="20">
    <w:p w14:paraId="438367B4" w14:textId="6B7DDC50" w:rsidR="00476BCC" w:rsidRDefault="00476BCC">
      <w:pPr>
        <w:pStyle w:val="Lbjegyzetszveg"/>
      </w:pPr>
      <w:r>
        <w:rPr>
          <w:rStyle w:val="Lbjegyzet-hivatkozs"/>
        </w:rPr>
        <w:footnoteRef/>
      </w:r>
      <w:r>
        <w:t xml:space="preserve"> </w:t>
      </w:r>
      <w:r w:rsidRPr="00774444">
        <w:rPr>
          <w:i/>
          <w:iCs/>
        </w:rPr>
        <w:t>Radó Dezső, 1999: A növényzet környezetvédelmi szerepe és értéke. Budapesti Városvédő Egyesület szakkiadványa, pp. 42-45.</w:t>
      </w:r>
    </w:p>
  </w:footnote>
  <w:footnote w:id="21">
    <w:p w14:paraId="25D64BFA" w14:textId="53FE4086" w:rsidR="00256C57" w:rsidRDefault="00256C57">
      <w:pPr>
        <w:pStyle w:val="Lbjegyzetszveg"/>
      </w:pPr>
      <w:r>
        <w:rPr>
          <w:rStyle w:val="Lbjegyzet-hivatkozs"/>
        </w:rPr>
        <w:footnoteRef/>
      </w:r>
      <w:r>
        <w:t xml:space="preserve"> </w:t>
      </w:r>
      <w:r w:rsidRPr="000E0115">
        <w:rPr>
          <w:i/>
          <w:iCs/>
        </w:rPr>
        <w:t>EMEP/EEA, 2019: Air Pollutant Emission Inventory Guidebook – Land Use Change and Forestry metrics, Chapter 3.D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ook w:val="04A0" w:firstRow="1" w:lastRow="0" w:firstColumn="1" w:lastColumn="0" w:noHBand="0" w:noVBand="1"/>
    </w:tblPr>
    <w:tblGrid>
      <w:gridCol w:w="4535"/>
      <w:gridCol w:w="4535"/>
    </w:tblGrid>
    <w:tr w:rsidR="003F4D4D" w:rsidRPr="0005204B" w14:paraId="36F64814" w14:textId="77777777" w:rsidTr="00A459CB">
      <w:trPr>
        <w:tblHeader/>
        <w:jc w:val="center"/>
      </w:trPr>
      <w:sdt>
        <w:sdtPr>
          <w:rPr>
            <w:b/>
            <w:sz w:val="16"/>
            <w:szCs w:val="16"/>
          </w:rPr>
          <w:alias w:val="Projekt neve"/>
          <w:tag w:val="Projekt neve"/>
          <w:id w:val="633520732"/>
          <w:text/>
        </w:sdtPr>
        <w:sdtContent>
          <w:tc>
            <w:tcPr>
              <w:tcW w:w="4535" w:type="dxa"/>
            </w:tcPr>
            <w:p w14:paraId="1722181D" w14:textId="4FDA184B" w:rsidR="003F4D4D" w:rsidRPr="0005204B" w:rsidRDefault="00640B53" w:rsidP="003F4D4D">
              <w:pPr>
                <w:pStyle w:val="lfej"/>
                <w:spacing w:after="60"/>
                <w:jc w:val="left"/>
                <w:rPr>
                  <w:b/>
                  <w:sz w:val="16"/>
                  <w:szCs w:val="16"/>
                </w:rPr>
              </w:pPr>
              <w:r w:rsidRPr="00640B53">
                <w:rPr>
                  <w:b/>
                  <w:sz w:val="16"/>
                  <w:szCs w:val="16"/>
                </w:rPr>
                <w:t>Sertéstelep és hígtrágya tároló létesítése</w:t>
              </w:r>
              <w:r>
                <w:rPr>
                  <w:b/>
                  <w:sz w:val="16"/>
                  <w:szCs w:val="16"/>
                </w:rPr>
                <w:t xml:space="preserve"> – IPPC-KHV</w:t>
              </w:r>
              <w:r w:rsidR="0039160B">
                <w:rPr>
                  <w:b/>
                  <w:sz w:val="16"/>
                  <w:szCs w:val="16"/>
                </w:rPr>
                <w:t xml:space="preserve"> - </w:t>
              </w:r>
              <w:r w:rsidR="004A3178">
                <w:rPr>
                  <w:b/>
                  <w:sz w:val="16"/>
                  <w:szCs w:val="16"/>
                </w:rPr>
                <w:t>Éghajlatvédelem</w:t>
              </w:r>
            </w:p>
          </w:tc>
        </w:sdtContent>
      </w:sdt>
      <w:sdt>
        <w:sdtPr>
          <w:rPr>
            <w:b/>
            <w:sz w:val="16"/>
            <w:szCs w:val="16"/>
          </w:rPr>
          <w:alias w:val="Cégnév"/>
          <w:tag w:val="Cégnév"/>
          <w:id w:val="1777288081"/>
          <w:text/>
        </w:sdtPr>
        <w:sdtContent>
          <w:tc>
            <w:tcPr>
              <w:tcW w:w="4535" w:type="dxa"/>
            </w:tcPr>
            <w:p w14:paraId="1203CDAE" w14:textId="3D4104FB" w:rsidR="003F4D4D" w:rsidRPr="0005204B" w:rsidRDefault="0089641D" w:rsidP="003F4D4D">
              <w:pPr>
                <w:pStyle w:val="lfej"/>
                <w:spacing w:after="0"/>
                <w:jc w:val="right"/>
                <w:rPr>
                  <w:b/>
                  <w:sz w:val="16"/>
                  <w:szCs w:val="16"/>
                </w:rPr>
              </w:pPr>
              <w:r w:rsidRPr="0089641D">
                <w:rPr>
                  <w:b/>
                  <w:sz w:val="16"/>
                  <w:szCs w:val="16"/>
                </w:rPr>
                <w:t>DR. FÜLÖP MÉNES Kft.</w:t>
              </w:r>
            </w:p>
          </w:tc>
        </w:sdtContent>
      </w:sdt>
    </w:tr>
    <w:tr w:rsidR="003F4D4D" w:rsidRPr="0005204B" w14:paraId="7A3110BF" w14:textId="77777777" w:rsidTr="00A459CB">
      <w:trPr>
        <w:tblHeader/>
        <w:jc w:val="center"/>
      </w:trPr>
      <w:tc>
        <w:tcPr>
          <w:tcW w:w="4535" w:type="dxa"/>
          <w:tcBorders>
            <w:bottom w:val="single" w:sz="4" w:space="0" w:color="auto"/>
          </w:tcBorders>
        </w:tcPr>
        <w:p w14:paraId="21380621" w14:textId="40CDBD80" w:rsidR="003F4D4D" w:rsidRPr="0005204B" w:rsidRDefault="003F4D4D" w:rsidP="003F4D4D">
          <w:pPr>
            <w:pStyle w:val="lfej"/>
            <w:spacing w:after="60"/>
            <w:jc w:val="left"/>
            <w:rPr>
              <w:noProof/>
              <w:sz w:val="16"/>
              <w:szCs w:val="16"/>
            </w:rPr>
          </w:pPr>
          <w:r w:rsidRPr="0005204B">
            <w:rPr>
              <w:sz w:val="16"/>
              <w:szCs w:val="16"/>
            </w:rPr>
            <w:t xml:space="preserve">Munkaszám: </w:t>
          </w:r>
          <w:sdt>
            <w:sdtPr>
              <w:rPr>
                <w:sz w:val="16"/>
                <w:szCs w:val="16"/>
              </w:rPr>
              <w:alias w:val="Munkaszám"/>
              <w:tag w:val="Munkaszám"/>
              <w:id w:val="-1395355148"/>
              <w:text/>
            </w:sdtPr>
            <w:sdtContent>
              <w:r w:rsidR="0089641D" w:rsidRPr="0089641D">
                <w:rPr>
                  <w:sz w:val="16"/>
                  <w:szCs w:val="16"/>
                </w:rPr>
                <w:t>S4A/202</w:t>
              </w:r>
              <w:r w:rsidR="0039160B">
                <w:rPr>
                  <w:sz w:val="16"/>
                  <w:szCs w:val="16"/>
                </w:rPr>
                <w:t>60514</w:t>
              </w:r>
              <w:r w:rsidR="0089641D" w:rsidRPr="0089641D">
                <w:rPr>
                  <w:sz w:val="16"/>
                  <w:szCs w:val="16"/>
                </w:rPr>
                <w:t>/0</w:t>
              </w:r>
              <w:r w:rsidR="0002678A">
                <w:rPr>
                  <w:sz w:val="16"/>
                  <w:szCs w:val="16"/>
                </w:rPr>
                <w:t>3</w:t>
              </w:r>
            </w:sdtContent>
          </w:sdt>
        </w:p>
      </w:tc>
      <w:sdt>
        <w:sdtPr>
          <w:rPr>
            <w:sz w:val="16"/>
            <w:szCs w:val="16"/>
          </w:rPr>
          <w:alias w:val="Területi hatály"/>
          <w:tag w:val="Területi hatály"/>
          <w:id w:val="1628816241"/>
          <w:text/>
        </w:sdtPr>
        <w:sdtContent>
          <w:tc>
            <w:tcPr>
              <w:tcW w:w="4535" w:type="dxa"/>
              <w:tcBorders>
                <w:bottom w:val="single" w:sz="4" w:space="0" w:color="auto"/>
              </w:tcBorders>
            </w:tcPr>
            <w:p w14:paraId="7D4FD1D0" w14:textId="51B5C3BA" w:rsidR="003F4D4D" w:rsidRPr="0005204B" w:rsidRDefault="0089641D" w:rsidP="003F4D4D">
              <w:pPr>
                <w:pStyle w:val="lfej"/>
                <w:spacing w:after="0"/>
                <w:jc w:val="right"/>
                <w:rPr>
                  <w:sz w:val="16"/>
                  <w:szCs w:val="16"/>
                </w:rPr>
              </w:pPr>
              <w:r w:rsidRPr="0089641D">
                <w:rPr>
                  <w:sz w:val="16"/>
                  <w:szCs w:val="16"/>
                </w:rPr>
                <w:t>5244 Tiszaszőlős, 0244</w:t>
              </w:r>
              <w:r>
                <w:rPr>
                  <w:sz w:val="16"/>
                  <w:szCs w:val="16"/>
                </w:rPr>
                <w:t>.</w:t>
              </w:r>
              <w:r w:rsidRPr="0089641D">
                <w:rPr>
                  <w:sz w:val="16"/>
                  <w:szCs w:val="16"/>
                </w:rPr>
                <w:t xml:space="preserve"> és 0242/2 hrsz.</w:t>
              </w:r>
            </w:p>
          </w:tc>
        </w:sdtContent>
      </w:sdt>
    </w:tr>
  </w:tbl>
  <w:p w14:paraId="0CEFFFFF" w14:textId="77777777" w:rsidR="00B07ACF" w:rsidRDefault="00B07ACF" w:rsidP="004B18CE">
    <w:pPr>
      <w:pStyle w:val="lfej"/>
      <w:spacing w:after="240"/>
      <w:jc w:val="left"/>
      <w:rPr>
        <w: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457B0" w14:textId="78D3C1B0" w:rsidR="00B07ACF" w:rsidRPr="00D331B5" w:rsidRDefault="006B73EE" w:rsidP="00D331B5">
    <w:pPr>
      <w:spacing w:after="240"/>
      <w:jc w:val="center"/>
      <w:rPr>
        <w:szCs w:val="32"/>
      </w:rPr>
    </w:pPr>
    <w:r>
      <w:rPr>
        <w:noProof/>
        <w:szCs w:val="32"/>
      </w:rPr>
      <w:drawing>
        <wp:inline distT="0" distB="0" distL="0" distR="0" wp14:anchorId="6EBA653C" wp14:editId="6CCDFF98">
          <wp:extent cx="5759450" cy="1755775"/>
          <wp:effectExtent l="0" t="0" r="0" b="0"/>
          <wp:docPr id="834027575"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811041" name="Kép 1434811041"/>
                  <pic:cNvPicPr/>
                </pic:nvPicPr>
                <pic:blipFill>
                  <a:blip r:embed="rId1">
                    <a:extLst>
                      <a:ext uri="{28A0092B-C50C-407E-A947-70E740481C1C}">
                        <a14:useLocalDpi xmlns:a14="http://schemas.microsoft.com/office/drawing/2010/main" val="0"/>
                      </a:ext>
                    </a:extLst>
                  </a:blip>
                  <a:stretch>
                    <a:fillRect/>
                  </a:stretch>
                </pic:blipFill>
                <pic:spPr>
                  <a:xfrm>
                    <a:off x="0" y="0"/>
                    <a:ext cx="5759450" cy="17557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802C0E4"/>
    <w:lvl w:ilvl="0">
      <w:start w:val="1"/>
      <w:numFmt w:val="bullet"/>
      <w:pStyle w:val="Felsorol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CC789B02"/>
    <w:lvl w:ilvl="0">
      <w:start w:val="1"/>
      <w:numFmt w:val="bullet"/>
      <w:pStyle w:val="Felsorols"/>
      <w:lvlText w:val=""/>
      <w:lvlJc w:val="left"/>
      <w:pPr>
        <w:tabs>
          <w:tab w:val="num" w:pos="360"/>
        </w:tabs>
        <w:ind w:left="360" w:hanging="360"/>
      </w:pPr>
      <w:rPr>
        <w:rFonts w:ascii="Symbol" w:hAnsi="Symbol" w:hint="default"/>
      </w:rPr>
    </w:lvl>
  </w:abstractNum>
  <w:abstractNum w:abstractNumId="2" w15:restartNumberingAfterBreak="0">
    <w:nsid w:val="06180708"/>
    <w:multiLevelType w:val="multilevel"/>
    <w:tmpl w:val="FFEA7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C40D72"/>
    <w:multiLevelType w:val="multilevel"/>
    <w:tmpl w:val="E63AD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2970FF"/>
    <w:multiLevelType w:val="multilevel"/>
    <w:tmpl w:val="BAC0DADC"/>
    <w:lvl w:ilvl="0">
      <w:start w:val="1"/>
      <w:numFmt w:val="decimal"/>
      <w:pStyle w:val="Cmsor1"/>
      <w:lvlText w:val="%1."/>
      <w:lvlJc w:val="left"/>
      <w:pPr>
        <w:tabs>
          <w:tab w:val="num" w:pos="432"/>
        </w:tabs>
        <w:ind w:left="432" w:hanging="432"/>
      </w:pPr>
      <w:rPr>
        <w:rFonts w:hint="default"/>
      </w:rPr>
    </w:lvl>
    <w:lvl w:ilvl="1">
      <w:start w:val="1"/>
      <w:numFmt w:val="decimal"/>
      <w:pStyle w:val="Cmsor2"/>
      <w:lvlText w:val="%1.%2."/>
      <w:lvlJc w:val="left"/>
      <w:pPr>
        <w:tabs>
          <w:tab w:val="num" w:pos="576"/>
        </w:tabs>
        <w:ind w:left="576" w:hanging="576"/>
      </w:pPr>
      <w:rPr>
        <w:rFonts w:hint="default"/>
      </w:rPr>
    </w:lvl>
    <w:lvl w:ilvl="2">
      <w:start w:val="1"/>
      <w:numFmt w:val="decimal"/>
      <w:pStyle w:val="Cmsor3"/>
      <w:lvlText w:val="%1.%2.%3."/>
      <w:lvlJc w:val="left"/>
      <w:pPr>
        <w:tabs>
          <w:tab w:val="num" w:pos="720"/>
        </w:tabs>
        <w:ind w:left="720" w:hanging="720"/>
      </w:pPr>
      <w:rPr>
        <w:rFonts w:hint="default"/>
      </w:rPr>
    </w:lvl>
    <w:lvl w:ilvl="3">
      <w:start w:val="1"/>
      <w:numFmt w:val="decimal"/>
      <w:pStyle w:val="Cmsor4"/>
      <w:lvlText w:val="%1.%2.%3.%4."/>
      <w:lvlJc w:val="left"/>
      <w:pPr>
        <w:tabs>
          <w:tab w:val="num" w:pos="864"/>
        </w:tabs>
        <w:ind w:left="864" w:hanging="864"/>
      </w:pPr>
      <w:rPr>
        <w:rFonts w:hint="default"/>
      </w:rPr>
    </w:lvl>
    <w:lvl w:ilvl="4">
      <w:start w:val="1"/>
      <w:numFmt w:val="decimal"/>
      <w:pStyle w:val="Cmsor5"/>
      <w:lvlText w:val="%1.%2.%3.%4.%5."/>
      <w:lvlJc w:val="left"/>
      <w:pPr>
        <w:tabs>
          <w:tab w:val="num" w:pos="1008"/>
        </w:tabs>
        <w:ind w:left="1008" w:hanging="1008"/>
      </w:pPr>
      <w:rPr>
        <w:rFonts w:hint="default"/>
      </w:rPr>
    </w:lvl>
    <w:lvl w:ilvl="5">
      <w:start w:val="1"/>
      <w:numFmt w:val="decimal"/>
      <w:pStyle w:val="Cmsor6"/>
      <w:lvlText w:val="%1.%2.%3.%4.%5.%6"/>
      <w:lvlJc w:val="left"/>
      <w:pPr>
        <w:tabs>
          <w:tab w:val="num" w:pos="1152"/>
        </w:tabs>
        <w:ind w:left="1152" w:hanging="1152"/>
      </w:pPr>
      <w:rPr>
        <w:rFonts w:hint="default"/>
      </w:rPr>
    </w:lvl>
    <w:lvl w:ilvl="6">
      <w:start w:val="1"/>
      <w:numFmt w:val="decimal"/>
      <w:pStyle w:val="Cmsor7"/>
      <w:lvlText w:val="%1.%2.%3.%4.%5.%6.%7"/>
      <w:lvlJc w:val="left"/>
      <w:pPr>
        <w:tabs>
          <w:tab w:val="num" w:pos="1296"/>
        </w:tabs>
        <w:ind w:left="1296" w:hanging="1296"/>
      </w:pPr>
      <w:rPr>
        <w:rFonts w:hint="default"/>
      </w:rPr>
    </w:lvl>
    <w:lvl w:ilvl="7">
      <w:start w:val="1"/>
      <w:numFmt w:val="decimal"/>
      <w:pStyle w:val="Cmsor8"/>
      <w:lvlText w:val="%1.%2.%3.%4.%5.%6.%7.%8"/>
      <w:lvlJc w:val="left"/>
      <w:pPr>
        <w:tabs>
          <w:tab w:val="num" w:pos="1440"/>
        </w:tabs>
        <w:ind w:left="1440" w:hanging="1440"/>
      </w:pPr>
      <w:rPr>
        <w:rFonts w:hint="default"/>
      </w:rPr>
    </w:lvl>
    <w:lvl w:ilvl="8">
      <w:start w:val="1"/>
      <w:numFmt w:val="decimal"/>
      <w:pStyle w:val="Cmsor9"/>
      <w:lvlText w:val="%1.%2.%3.%4.%5.%6.%7.%8.%9"/>
      <w:lvlJc w:val="left"/>
      <w:pPr>
        <w:tabs>
          <w:tab w:val="num" w:pos="1584"/>
        </w:tabs>
        <w:ind w:left="1584" w:hanging="1584"/>
      </w:pPr>
      <w:rPr>
        <w:rFonts w:hint="default"/>
      </w:rPr>
    </w:lvl>
  </w:abstractNum>
  <w:abstractNum w:abstractNumId="5" w15:restartNumberingAfterBreak="0">
    <w:nsid w:val="0A7F570A"/>
    <w:multiLevelType w:val="multilevel"/>
    <w:tmpl w:val="8BA84782"/>
    <w:lvl w:ilvl="0">
      <w:start w:val="1"/>
      <w:numFmt w:val="decimal"/>
      <w:pStyle w:val="P1"/>
      <w:lvlText w:val="%1."/>
      <w:lvlJc w:val="left"/>
      <w:pPr>
        <w:tabs>
          <w:tab w:val="num" w:pos="360"/>
        </w:tabs>
        <w:ind w:left="360" w:hanging="360"/>
      </w:pPr>
      <w:rPr>
        <w:rFonts w:hint="default"/>
      </w:rPr>
    </w:lvl>
    <w:lvl w:ilvl="1">
      <w:start w:val="1"/>
      <w:numFmt w:val="decimal"/>
      <w:pStyle w:val="P2"/>
      <w:lvlText w:val="%1.%2."/>
      <w:lvlJc w:val="left"/>
      <w:pPr>
        <w:tabs>
          <w:tab w:val="num" w:pos="792"/>
        </w:tabs>
        <w:ind w:left="792" w:hanging="432"/>
      </w:pPr>
      <w:rPr>
        <w:rFonts w:hint="default"/>
      </w:rPr>
    </w:lvl>
    <w:lvl w:ilvl="2">
      <w:start w:val="1"/>
      <w:numFmt w:val="decimal"/>
      <w:pStyle w:val="P3"/>
      <w:lvlText w:val="%1.%2.%3."/>
      <w:lvlJc w:val="left"/>
      <w:pPr>
        <w:tabs>
          <w:tab w:val="num" w:pos="1440"/>
        </w:tabs>
        <w:ind w:left="1224" w:hanging="504"/>
      </w:pPr>
      <w:rPr>
        <w:rFonts w:hint="default"/>
      </w:rPr>
    </w:lvl>
    <w:lvl w:ilvl="3">
      <w:start w:val="1"/>
      <w:numFmt w:val="decimal"/>
      <w:pStyle w:val="P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E9F2BC7"/>
    <w:multiLevelType w:val="hybridMultilevel"/>
    <w:tmpl w:val="7AA4708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B887856"/>
    <w:multiLevelType w:val="multilevel"/>
    <w:tmpl w:val="A4C0E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FE1C00"/>
    <w:multiLevelType w:val="multilevel"/>
    <w:tmpl w:val="CE56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D01B38"/>
    <w:multiLevelType w:val="multilevel"/>
    <w:tmpl w:val="BE5C7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082653"/>
    <w:multiLevelType w:val="multilevel"/>
    <w:tmpl w:val="FBCAF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847080"/>
    <w:multiLevelType w:val="multilevel"/>
    <w:tmpl w:val="75887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2E7DAC"/>
    <w:multiLevelType w:val="multilevel"/>
    <w:tmpl w:val="85104902"/>
    <w:styleLink w:val="Mellkletekjegyzke"/>
    <w:lvl w:ilvl="0">
      <w:start w:val="1"/>
      <w:numFmt w:val="ordinal"/>
      <w:lvlText w:val="%1)"/>
      <w:lvlJc w:val="left"/>
      <w:pPr>
        <w:ind w:left="567" w:hanging="567"/>
      </w:pPr>
      <w:rPr>
        <w:rFonts w:ascii="Garamond" w:hAnsi="Garamond"/>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6B15840"/>
    <w:multiLevelType w:val="multilevel"/>
    <w:tmpl w:val="C9C06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122D8D"/>
    <w:multiLevelType w:val="multilevel"/>
    <w:tmpl w:val="80582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9A6FAB"/>
    <w:multiLevelType w:val="multilevel"/>
    <w:tmpl w:val="A6022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BC1B79"/>
    <w:multiLevelType w:val="multilevel"/>
    <w:tmpl w:val="40C2D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82363E"/>
    <w:multiLevelType w:val="multilevel"/>
    <w:tmpl w:val="3DAA2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EE4932"/>
    <w:multiLevelType w:val="hybridMultilevel"/>
    <w:tmpl w:val="8EC0F29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4D53225E"/>
    <w:multiLevelType w:val="multilevel"/>
    <w:tmpl w:val="37C86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547850"/>
    <w:multiLevelType w:val="multilevel"/>
    <w:tmpl w:val="D49604D4"/>
    <w:styleLink w:val="WW8Num3"/>
    <w:lvl w:ilvl="0">
      <w:numFmt w:val="bullet"/>
      <w:lvlText w:val=""/>
      <w:lvlJc w:val="left"/>
      <w:pPr>
        <w:ind w:left="720" w:hanging="360"/>
      </w:pPr>
      <w:rPr>
        <w:rFonts w:ascii="Wingdings 2" w:hAnsi="Wingdings 2" w:cs="OpenSymbol, 'Arial Unicode MS'"/>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Wingdings 2" w:hAnsi="Wingdings 2"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Wingdings 2" w:hAnsi="Wingdings 2"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21" w15:restartNumberingAfterBreak="0">
    <w:nsid w:val="508D69BB"/>
    <w:multiLevelType w:val="multilevel"/>
    <w:tmpl w:val="08BA0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3821B4"/>
    <w:multiLevelType w:val="multilevel"/>
    <w:tmpl w:val="38906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66C84"/>
    <w:multiLevelType w:val="multilevel"/>
    <w:tmpl w:val="8490F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7B45D5"/>
    <w:multiLevelType w:val="multilevel"/>
    <w:tmpl w:val="87287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606368"/>
    <w:multiLevelType w:val="multilevel"/>
    <w:tmpl w:val="8D08E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4D4563"/>
    <w:multiLevelType w:val="multilevel"/>
    <w:tmpl w:val="75D84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1073A6"/>
    <w:multiLevelType w:val="multilevel"/>
    <w:tmpl w:val="FC0E7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6C5B49"/>
    <w:multiLevelType w:val="multilevel"/>
    <w:tmpl w:val="95F42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8905A5"/>
    <w:multiLevelType w:val="hybridMultilevel"/>
    <w:tmpl w:val="28083784"/>
    <w:lvl w:ilvl="0" w:tplc="5F28F886">
      <w:start w:val="1"/>
      <w:numFmt w:val="bullet"/>
      <w:pStyle w:val="Listaszerbekezds"/>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5D8C15B3"/>
    <w:multiLevelType w:val="multilevel"/>
    <w:tmpl w:val="96501E2C"/>
    <w:lvl w:ilvl="0">
      <w:start w:val="1"/>
      <w:numFmt w:val="decimal"/>
      <w:pStyle w:val="StlusCmsor1NemFlkv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tlusCmsor3Eltte6ptUtna6ptSorkzszimpla"/>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E925585"/>
    <w:multiLevelType w:val="multilevel"/>
    <w:tmpl w:val="127A2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0862E7"/>
    <w:multiLevelType w:val="multilevel"/>
    <w:tmpl w:val="23F4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754D54"/>
    <w:multiLevelType w:val="multilevel"/>
    <w:tmpl w:val="A26ED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F63028"/>
    <w:multiLevelType w:val="multilevel"/>
    <w:tmpl w:val="54FC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C03DFD"/>
    <w:multiLevelType w:val="multilevel"/>
    <w:tmpl w:val="AADAE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ED7C34"/>
    <w:multiLevelType w:val="multilevel"/>
    <w:tmpl w:val="41583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7B5AD5"/>
    <w:multiLevelType w:val="multilevel"/>
    <w:tmpl w:val="F32C9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7D4B95"/>
    <w:multiLevelType w:val="multilevel"/>
    <w:tmpl w:val="B792C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2282363">
    <w:abstractNumId w:val="4"/>
  </w:num>
  <w:num w:numId="2" w16cid:durableId="1390153416">
    <w:abstractNumId w:val="12"/>
  </w:num>
  <w:num w:numId="3" w16cid:durableId="1164474720">
    <w:abstractNumId w:val="5"/>
  </w:num>
  <w:num w:numId="4" w16cid:durableId="1590043021">
    <w:abstractNumId w:val="30"/>
  </w:num>
  <w:num w:numId="5" w16cid:durableId="232930524">
    <w:abstractNumId w:val="20"/>
  </w:num>
  <w:num w:numId="6" w16cid:durableId="248583711">
    <w:abstractNumId w:val="1"/>
  </w:num>
  <w:num w:numId="7" w16cid:durableId="1258364026">
    <w:abstractNumId w:val="0"/>
  </w:num>
  <w:num w:numId="8" w16cid:durableId="853416630">
    <w:abstractNumId w:val="8"/>
  </w:num>
  <w:num w:numId="9" w16cid:durableId="783575872">
    <w:abstractNumId w:val="18"/>
  </w:num>
  <w:num w:numId="10" w16cid:durableId="1149977948">
    <w:abstractNumId w:val="6"/>
  </w:num>
  <w:num w:numId="11" w16cid:durableId="1169055201">
    <w:abstractNumId w:val="15"/>
  </w:num>
  <w:num w:numId="12" w16cid:durableId="1495608940">
    <w:abstractNumId w:val="9"/>
  </w:num>
  <w:num w:numId="13" w16cid:durableId="2027554598">
    <w:abstractNumId w:val="3"/>
  </w:num>
  <w:num w:numId="14" w16cid:durableId="588735799">
    <w:abstractNumId w:val="25"/>
  </w:num>
  <w:num w:numId="15" w16cid:durableId="1997146231">
    <w:abstractNumId w:val="36"/>
  </w:num>
  <w:num w:numId="16" w16cid:durableId="1296183012">
    <w:abstractNumId w:val="33"/>
  </w:num>
  <w:num w:numId="17" w16cid:durableId="201794461">
    <w:abstractNumId w:val="11"/>
  </w:num>
  <w:num w:numId="18" w16cid:durableId="705174931">
    <w:abstractNumId w:val="2"/>
  </w:num>
  <w:num w:numId="19" w16cid:durableId="1573394110">
    <w:abstractNumId w:val="31"/>
  </w:num>
  <w:num w:numId="20" w16cid:durableId="960260357">
    <w:abstractNumId w:val="28"/>
  </w:num>
  <w:num w:numId="21" w16cid:durableId="2000378343">
    <w:abstractNumId w:val="38"/>
  </w:num>
  <w:num w:numId="22" w16cid:durableId="1235355903">
    <w:abstractNumId w:val="29"/>
  </w:num>
  <w:num w:numId="23" w16cid:durableId="358625747">
    <w:abstractNumId w:val="10"/>
  </w:num>
  <w:num w:numId="24" w16cid:durableId="1732533038">
    <w:abstractNumId w:val="32"/>
  </w:num>
  <w:num w:numId="25" w16cid:durableId="248001989">
    <w:abstractNumId w:val="7"/>
  </w:num>
  <w:num w:numId="26" w16cid:durableId="1696157359">
    <w:abstractNumId w:val="21"/>
  </w:num>
  <w:num w:numId="27" w16cid:durableId="1544713106">
    <w:abstractNumId w:val="27"/>
  </w:num>
  <w:num w:numId="28" w16cid:durableId="1939093890">
    <w:abstractNumId w:val="14"/>
  </w:num>
  <w:num w:numId="29" w16cid:durableId="134176714">
    <w:abstractNumId w:val="23"/>
  </w:num>
  <w:num w:numId="30" w16cid:durableId="494223653">
    <w:abstractNumId w:val="24"/>
  </w:num>
  <w:num w:numId="31" w16cid:durableId="160658652">
    <w:abstractNumId w:val="19"/>
  </w:num>
  <w:num w:numId="32" w16cid:durableId="737241862">
    <w:abstractNumId w:val="17"/>
  </w:num>
  <w:num w:numId="33" w16cid:durableId="1612274982">
    <w:abstractNumId w:val="34"/>
  </w:num>
  <w:num w:numId="34" w16cid:durableId="1419133075">
    <w:abstractNumId w:val="37"/>
  </w:num>
  <w:num w:numId="35" w16cid:durableId="1598173593">
    <w:abstractNumId w:val="13"/>
  </w:num>
  <w:num w:numId="36" w16cid:durableId="61560254">
    <w:abstractNumId w:val="16"/>
  </w:num>
  <w:num w:numId="37" w16cid:durableId="1865943853">
    <w:abstractNumId w:val="26"/>
  </w:num>
  <w:num w:numId="38" w16cid:durableId="1402407883">
    <w:abstractNumId w:val="22"/>
  </w:num>
  <w:num w:numId="39" w16cid:durableId="1612586454">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315"/>
    <w:rsid w:val="0000176E"/>
    <w:rsid w:val="0000230B"/>
    <w:rsid w:val="00002D0C"/>
    <w:rsid w:val="00004307"/>
    <w:rsid w:val="00011FC6"/>
    <w:rsid w:val="0001544F"/>
    <w:rsid w:val="0001614C"/>
    <w:rsid w:val="00016190"/>
    <w:rsid w:val="00016831"/>
    <w:rsid w:val="0001738C"/>
    <w:rsid w:val="00017552"/>
    <w:rsid w:val="0002078A"/>
    <w:rsid w:val="00025E08"/>
    <w:rsid w:val="0002678A"/>
    <w:rsid w:val="00032EBD"/>
    <w:rsid w:val="0003368C"/>
    <w:rsid w:val="00033E86"/>
    <w:rsid w:val="00034A48"/>
    <w:rsid w:val="000376C4"/>
    <w:rsid w:val="00040813"/>
    <w:rsid w:val="00044B3B"/>
    <w:rsid w:val="000456DB"/>
    <w:rsid w:val="00051313"/>
    <w:rsid w:val="00052121"/>
    <w:rsid w:val="00054346"/>
    <w:rsid w:val="0005485E"/>
    <w:rsid w:val="00055CCD"/>
    <w:rsid w:val="0005700E"/>
    <w:rsid w:val="000571B2"/>
    <w:rsid w:val="00064A12"/>
    <w:rsid w:val="00065163"/>
    <w:rsid w:val="00066F7E"/>
    <w:rsid w:val="00067E76"/>
    <w:rsid w:val="00071F56"/>
    <w:rsid w:val="000758B8"/>
    <w:rsid w:val="00077365"/>
    <w:rsid w:val="000779D6"/>
    <w:rsid w:val="00080307"/>
    <w:rsid w:val="00082E6C"/>
    <w:rsid w:val="000839E4"/>
    <w:rsid w:val="000844D0"/>
    <w:rsid w:val="0009310D"/>
    <w:rsid w:val="0009406E"/>
    <w:rsid w:val="000964AE"/>
    <w:rsid w:val="00097733"/>
    <w:rsid w:val="000A1A0C"/>
    <w:rsid w:val="000A467B"/>
    <w:rsid w:val="000A7B19"/>
    <w:rsid w:val="000B19AF"/>
    <w:rsid w:val="000B3581"/>
    <w:rsid w:val="000B5788"/>
    <w:rsid w:val="000C2315"/>
    <w:rsid w:val="000C53A8"/>
    <w:rsid w:val="000D0C38"/>
    <w:rsid w:val="000D33D3"/>
    <w:rsid w:val="000D3551"/>
    <w:rsid w:val="000D43EC"/>
    <w:rsid w:val="000D6B04"/>
    <w:rsid w:val="000D78EE"/>
    <w:rsid w:val="000D7D11"/>
    <w:rsid w:val="000E0115"/>
    <w:rsid w:val="000E15F1"/>
    <w:rsid w:val="000E3F78"/>
    <w:rsid w:val="000E45EE"/>
    <w:rsid w:val="000E67C9"/>
    <w:rsid w:val="000E6E35"/>
    <w:rsid w:val="000E78CA"/>
    <w:rsid w:val="000F093F"/>
    <w:rsid w:val="000F1C6E"/>
    <w:rsid w:val="000F3F69"/>
    <w:rsid w:val="0010021A"/>
    <w:rsid w:val="001018FA"/>
    <w:rsid w:val="00106C2B"/>
    <w:rsid w:val="0011036C"/>
    <w:rsid w:val="0011362B"/>
    <w:rsid w:val="001137F5"/>
    <w:rsid w:val="00114B0F"/>
    <w:rsid w:val="00115711"/>
    <w:rsid w:val="0011690F"/>
    <w:rsid w:val="0011774F"/>
    <w:rsid w:val="00121948"/>
    <w:rsid w:val="00124488"/>
    <w:rsid w:val="001245BF"/>
    <w:rsid w:val="001267E6"/>
    <w:rsid w:val="00126C15"/>
    <w:rsid w:val="001324C1"/>
    <w:rsid w:val="001350AB"/>
    <w:rsid w:val="00142386"/>
    <w:rsid w:val="00145C1E"/>
    <w:rsid w:val="001472AA"/>
    <w:rsid w:val="0014754C"/>
    <w:rsid w:val="00151346"/>
    <w:rsid w:val="00152071"/>
    <w:rsid w:val="00152E2D"/>
    <w:rsid w:val="001546FA"/>
    <w:rsid w:val="0015742A"/>
    <w:rsid w:val="00161B00"/>
    <w:rsid w:val="001632C5"/>
    <w:rsid w:val="00163D2D"/>
    <w:rsid w:val="001646E3"/>
    <w:rsid w:val="0016513A"/>
    <w:rsid w:val="00166399"/>
    <w:rsid w:val="00170244"/>
    <w:rsid w:val="00172A3C"/>
    <w:rsid w:val="001762AB"/>
    <w:rsid w:val="0017660B"/>
    <w:rsid w:val="00180503"/>
    <w:rsid w:val="00180E1E"/>
    <w:rsid w:val="00185175"/>
    <w:rsid w:val="001851A4"/>
    <w:rsid w:val="00185880"/>
    <w:rsid w:val="001A00C3"/>
    <w:rsid w:val="001A18AA"/>
    <w:rsid w:val="001A18EA"/>
    <w:rsid w:val="001A5377"/>
    <w:rsid w:val="001B0577"/>
    <w:rsid w:val="001B0A32"/>
    <w:rsid w:val="001B1BF9"/>
    <w:rsid w:val="001B40DE"/>
    <w:rsid w:val="001B52EF"/>
    <w:rsid w:val="001B793A"/>
    <w:rsid w:val="001C0A4D"/>
    <w:rsid w:val="001C4219"/>
    <w:rsid w:val="001C6715"/>
    <w:rsid w:val="001C7BD9"/>
    <w:rsid w:val="001D040B"/>
    <w:rsid w:val="001D2EF8"/>
    <w:rsid w:val="001D2F31"/>
    <w:rsid w:val="001D513B"/>
    <w:rsid w:val="001D52EB"/>
    <w:rsid w:val="001E072E"/>
    <w:rsid w:val="001E436E"/>
    <w:rsid w:val="001E4B36"/>
    <w:rsid w:val="001E4F19"/>
    <w:rsid w:val="001E5FDA"/>
    <w:rsid w:val="001E6332"/>
    <w:rsid w:val="001E6D81"/>
    <w:rsid w:val="001F1607"/>
    <w:rsid w:val="001F1696"/>
    <w:rsid w:val="001F7CB8"/>
    <w:rsid w:val="00200F08"/>
    <w:rsid w:val="00203459"/>
    <w:rsid w:val="0020509C"/>
    <w:rsid w:val="00220E8F"/>
    <w:rsid w:val="00222712"/>
    <w:rsid w:val="00222B0C"/>
    <w:rsid w:val="00223EB9"/>
    <w:rsid w:val="00224F7F"/>
    <w:rsid w:val="002264EB"/>
    <w:rsid w:val="00226DEC"/>
    <w:rsid w:val="00230C63"/>
    <w:rsid w:val="00236F2B"/>
    <w:rsid w:val="00242C82"/>
    <w:rsid w:val="0024699D"/>
    <w:rsid w:val="0025412C"/>
    <w:rsid w:val="002544AB"/>
    <w:rsid w:val="00254780"/>
    <w:rsid w:val="00255272"/>
    <w:rsid w:val="00256AAA"/>
    <w:rsid w:val="00256C57"/>
    <w:rsid w:val="00257256"/>
    <w:rsid w:val="00257DFD"/>
    <w:rsid w:val="00265FB3"/>
    <w:rsid w:val="0026614F"/>
    <w:rsid w:val="002727B1"/>
    <w:rsid w:val="002748A5"/>
    <w:rsid w:val="002808C7"/>
    <w:rsid w:val="00280B33"/>
    <w:rsid w:val="0028388B"/>
    <w:rsid w:val="00285078"/>
    <w:rsid w:val="00285E6A"/>
    <w:rsid w:val="00294FCA"/>
    <w:rsid w:val="00295F6F"/>
    <w:rsid w:val="00296024"/>
    <w:rsid w:val="002A0051"/>
    <w:rsid w:val="002A00AF"/>
    <w:rsid w:val="002A07B7"/>
    <w:rsid w:val="002A26F9"/>
    <w:rsid w:val="002A5D39"/>
    <w:rsid w:val="002B130F"/>
    <w:rsid w:val="002B2028"/>
    <w:rsid w:val="002B365F"/>
    <w:rsid w:val="002B40EC"/>
    <w:rsid w:val="002B7BFB"/>
    <w:rsid w:val="002C3287"/>
    <w:rsid w:val="002C5B3C"/>
    <w:rsid w:val="002C757E"/>
    <w:rsid w:val="002D2536"/>
    <w:rsid w:val="002D2B0B"/>
    <w:rsid w:val="002D2BB4"/>
    <w:rsid w:val="002D2D60"/>
    <w:rsid w:val="002D3836"/>
    <w:rsid w:val="002D432A"/>
    <w:rsid w:val="002D46E1"/>
    <w:rsid w:val="002D47EB"/>
    <w:rsid w:val="002D5559"/>
    <w:rsid w:val="002D60F7"/>
    <w:rsid w:val="002D6708"/>
    <w:rsid w:val="002E0A78"/>
    <w:rsid w:val="002E3019"/>
    <w:rsid w:val="002E3069"/>
    <w:rsid w:val="002E3518"/>
    <w:rsid w:val="002F2AC5"/>
    <w:rsid w:val="002F2D7E"/>
    <w:rsid w:val="002F35F3"/>
    <w:rsid w:val="002F3E85"/>
    <w:rsid w:val="0030070B"/>
    <w:rsid w:val="00300765"/>
    <w:rsid w:val="00300A15"/>
    <w:rsid w:val="00300E8B"/>
    <w:rsid w:val="00302F44"/>
    <w:rsid w:val="00303BD0"/>
    <w:rsid w:val="00306001"/>
    <w:rsid w:val="00310D69"/>
    <w:rsid w:val="0031169A"/>
    <w:rsid w:val="00317EBC"/>
    <w:rsid w:val="00322C81"/>
    <w:rsid w:val="00324977"/>
    <w:rsid w:val="00324DBA"/>
    <w:rsid w:val="003265F2"/>
    <w:rsid w:val="00327049"/>
    <w:rsid w:val="00327BEE"/>
    <w:rsid w:val="00334879"/>
    <w:rsid w:val="0033783C"/>
    <w:rsid w:val="00337BED"/>
    <w:rsid w:val="00341FC3"/>
    <w:rsid w:val="00342B2D"/>
    <w:rsid w:val="0034322F"/>
    <w:rsid w:val="00345DE4"/>
    <w:rsid w:val="0035025E"/>
    <w:rsid w:val="003516E0"/>
    <w:rsid w:val="00363842"/>
    <w:rsid w:val="003757BA"/>
    <w:rsid w:val="003829F2"/>
    <w:rsid w:val="00386C82"/>
    <w:rsid w:val="0039160B"/>
    <w:rsid w:val="00392BF7"/>
    <w:rsid w:val="00392F84"/>
    <w:rsid w:val="00393433"/>
    <w:rsid w:val="00393B6C"/>
    <w:rsid w:val="0039457D"/>
    <w:rsid w:val="00397DF7"/>
    <w:rsid w:val="003A070B"/>
    <w:rsid w:val="003A2DE4"/>
    <w:rsid w:val="003A3C64"/>
    <w:rsid w:val="003A67CB"/>
    <w:rsid w:val="003B0A5C"/>
    <w:rsid w:val="003B15DE"/>
    <w:rsid w:val="003B1EA5"/>
    <w:rsid w:val="003B3438"/>
    <w:rsid w:val="003B4C46"/>
    <w:rsid w:val="003B67A6"/>
    <w:rsid w:val="003B7D04"/>
    <w:rsid w:val="003C0C89"/>
    <w:rsid w:val="003C3F08"/>
    <w:rsid w:val="003C46AA"/>
    <w:rsid w:val="003C5A9F"/>
    <w:rsid w:val="003D0590"/>
    <w:rsid w:val="003D0C48"/>
    <w:rsid w:val="003D2028"/>
    <w:rsid w:val="003D2F50"/>
    <w:rsid w:val="003E01DC"/>
    <w:rsid w:val="003E0771"/>
    <w:rsid w:val="003E352C"/>
    <w:rsid w:val="003E5718"/>
    <w:rsid w:val="003E5B06"/>
    <w:rsid w:val="003F04D0"/>
    <w:rsid w:val="003F3DDE"/>
    <w:rsid w:val="003F4D4D"/>
    <w:rsid w:val="003F7212"/>
    <w:rsid w:val="003F746D"/>
    <w:rsid w:val="003F766A"/>
    <w:rsid w:val="0040005C"/>
    <w:rsid w:val="0040134A"/>
    <w:rsid w:val="004014AD"/>
    <w:rsid w:val="00401C16"/>
    <w:rsid w:val="004048CA"/>
    <w:rsid w:val="004058C2"/>
    <w:rsid w:val="00406A8F"/>
    <w:rsid w:val="00411843"/>
    <w:rsid w:val="00412DB2"/>
    <w:rsid w:val="0041371A"/>
    <w:rsid w:val="00413D8A"/>
    <w:rsid w:val="0041615B"/>
    <w:rsid w:val="00416368"/>
    <w:rsid w:val="00417348"/>
    <w:rsid w:val="0042073F"/>
    <w:rsid w:val="00420D93"/>
    <w:rsid w:val="004251B6"/>
    <w:rsid w:val="0042657D"/>
    <w:rsid w:val="0043171D"/>
    <w:rsid w:val="00431BC7"/>
    <w:rsid w:val="004328BA"/>
    <w:rsid w:val="00432B63"/>
    <w:rsid w:val="00433BCB"/>
    <w:rsid w:val="0043448A"/>
    <w:rsid w:val="00434612"/>
    <w:rsid w:val="00434AC1"/>
    <w:rsid w:val="004356FA"/>
    <w:rsid w:val="00437875"/>
    <w:rsid w:val="00440C14"/>
    <w:rsid w:val="00441AA9"/>
    <w:rsid w:val="0044438C"/>
    <w:rsid w:val="0044674E"/>
    <w:rsid w:val="004537CD"/>
    <w:rsid w:val="004546E7"/>
    <w:rsid w:val="00454DA2"/>
    <w:rsid w:val="00454DC0"/>
    <w:rsid w:val="00457D8E"/>
    <w:rsid w:val="00460BB4"/>
    <w:rsid w:val="00464940"/>
    <w:rsid w:val="004679A0"/>
    <w:rsid w:val="00470842"/>
    <w:rsid w:val="00471D7A"/>
    <w:rsid w:val="0047246F"/>
    <w:rsid w:val="00473A03"/>
    <w:rsid w:val="00476363"/>
    <w:rsid w:val="00476BCC"/>
    <w:rsid w:val="004820B4"/>
    <w:rsid w:val="00482BF1"/>
    <w:rsid w:val="0048551C"/>
    <w:rsid w:val="00486C9D"/>
    <w:rsid w:val="00487A8F"/>
    <w:rsid w:val="00491268"/>
    <w:rsid w:val="00491BC0"/>
    <w:rsid w:val="00492BB0"/>
    <w:rsid w:val="00493A7E"/>
    <w:rsid w:val="00494D59"/>
    <w:rsid w:val="00496CFA"/>
    <w:rsid w:val="004A20B4"/>
    <w:rsid w:val="004A3178"/>
    <w:rsid w:val="004A7B71"/>
    <w:rsid w:val="004B040F"/>
    <w:rsid w:val="004B102D"/>
    <w:rsid w:val="004B18CE"/>
    <w:rsid w:val="004B3280"/>
    <w:rsid w:val="004B5E8F"/>
    <w:rsid w:val="004B6106"/>
    <w:rsid w:val="004B6FC6"/>
    <w:rsid w:val="004C1D87"/>
    <w:rsid w:val="004C5124"/>
    <w:rsid w:val="004C6D39"/>
    <w:rsid w:val="004C7CE2"/>
    <w:rsid w:val="004D0266"/>
    <w:rsid w:val="004D2D87"/>
    <w:rsid w:val="004E103E"/>
    <w:rsid w:val="004E5E84"/>
    <w:rsid w:val="004E6188"/>
    <w:rsid w:val="004F083B"/>
    <w:rsid w:val="004F37D2"/>
    <w:rsid w:val="004F4E26"/>
    <w:rsid w:val="004F5145"/>
    <w:rsid w:val="004F7222"/>
    <w:rsid w:val="0050475C"/>
    <w:rsid w:val="00513CF0"/>
    <w:rsid w:val="005156A8"/>
    <w:rsid w:val="00515917"/>
    <w:rsid w:val="005165B3"/>
    <w:rsid w:val="00516D5A"/>
    <w:rsid w:val="0051745E"/>
    <w:rsid w:val="00521D26"/>
    <w:rsid w:val="005275AF"/>
    <w:rsid w:val="00530553"/>
    <w:rsid w:val="00532FA7"/>
    <w:rsid w:val="00537BFF"/>
    <w:rsid w:val="00540F2A"/>
    <w:rsid w:val="005410C4"/>
    <w:rsid w:val="00541C94"/>
    <w:rsid w:val="00542A4F"/>
    <w:rsid w:val="005436FA"/>
    <w:rsid w:val="00543A20"/>
    <w:rsid w:val="00543F78"/>
    <w:rsid w:val="005462C2"/>
    <w:rsid w:val="00546E84"/>
    <w:rsid w:val="0055272B"/>
    <w:rsid w:val="00552D5D"/>
    <w:rsid w:val="00554595"/>
    <w:rsid w:val="00561B41"/>
    <w:rsid w:val="005622EF"/>
    <w:rsid w:val="00562520"/>
    <w:rsid w:val="005628E4"/>
    <w:rsid w:val="00564293"/>
    <w:rsid w:val="00564312"/>
    <w:rsid w:val="00565397"/>
    <w:rsid w:val="00566CC2"/>
    <w:rsid w:val="005704E4"/>
    <w:rsid w:val="00571DB5"/>
    <w:rsid w:val="0057239F"/>
    <w:rsid w:val="00575EE3"/>
    <w:rsid w:val="00580E8B"/>
    <w:rsid w:val="005847AD"/>
    <w:rsid w:val="00584B7C"/>
    <w:rsid w:val="00587B71"/>
    <w:rsid w:val="00587EC7"/>
    <w:rsid w:val="005904A2"/>
    <w:rsid w:val="00592DB4"/>
    <w:rsid w:val="005940A8"/>
    <w:rsid w:val="0059464F"/>
    <w:rsid w:val="005979D3"/>
    <w:rsid w:val="005A0303"/>
    <w:rsid w:val="005A45B8"/>
    <w:rsid w:val="005A73FC"/>
    <w:rsid w:val="005A7FB3"/>
    <w:rsid w:val="005B052D"/>
    <w:rsid w:val="005B1281"/>
    <w:rsid w:val="005B76C4"/>
    <w:rsid w:val="005C0A06"/>
    <w:rsid w:val="005C0F85"/>
    <w:rsid w:val="005C6679"/>
    <w:rsid w:val="005D04C9"/>
    <w:rsid w:val="005D0D41"/>
    <w:rsid w:val="005D112D"/>
    <w:rsid w:val="005D3005"/>
    <w:rsid w:val="005D3F18"/>
    <w:rsid w:val="005D5954"/>
    <w:rsid w:val="005D6F49"/>
    <w:rsid w:val="005E053A"/>
    <w:rsid w:val="005E0C06"/>
    <w:rsid w:val="005E0DFD"/>
    <w:rsid w:val="005E2051"/>
    <w:rsid w:val="005E4988"/>
    <w:rsid w:val="005E5189"/>
    <w:rsid w:val="005E56F3"/>
    <w:rsid w:val="005E7D50"/>
    <w:rsid w:val="005F04D1"/>
    <w:rsid w:val="005F1DA3"/>
    <w:rsid w:val="005F39A3"/>
    <w:rsid w:val="005F3A2D"/>
    <w:rsid w:val="005F4406"/>
    <w:rsid w:val="00601477"/>
    <w:rsid w:val="006022AA"/>
    <w:rsid w:val="00602BBB"/>
    <w:rsid w:val="00604349"/>
    <w:rsid w:val="006062E1"/>
    <w:rsid w:val="00606479"/>
    <w:rsid w:val="00610C42"/>
    <w:rsid w:val="00610F1D"/>
    <w:rsid w:val="00611254"/>
    <w:rsid w:val="00615EFA"/>
    <w:rsid w:val="00616E20"/>
    <w:rsid w:val="006171B2"/>
    <w:rsid w:val="00617FA6"/>
    <w:rsid w:val="00620D3E"/>
    <w:rsid w:val="00621349"/>
    <w:rsid w:val="0062149D"/>
    <w:rsid w:val="00621F90"/>
    <w:rsid w:val="00622581"/>
    <w:rsid w:val="00623AC2"/>
    <w:rsid w:val="00623EA3"/>
    <w:rsid w:val="00623EEC"/>
    <w:rsid w:val="00632AE6"/>
    <w:rsid w:val="00633ECB"/>
    <w:rsid w:val="00634106"/>
    <w:rsid w:val="00634378"/>
    <w:rsid w:val="00635D74"/>
    <w:rsid w:val="00640B53"/>
    <w:rsid w:val="006416BE"/>
    <w:rsid w:val="006421B8"/>
    <w:rsid w:val="00642E6F"/>
    <w:rsid w:val="00644BD2"/>
    <w:rsid w:val="006462A6"/>
    <w:rsid w:val="00650449"/>
    <w:rsid w:val="006566BA"/>
    <w:rsid w:val="00656754"/>
    <w:rsid w:val="006623C6"/>
    <w:rsid w:val="0066482B"/>
    <w:rsid w:val="00665757"/>
    <w:rsid w:val="00665988"/>
    <w:rsid w:val="00671761"/>
    <w:rsid w:val="00673B6E"/>
    <w:rsid w:val="0067525C"/>
    <w:rsid w:val="00677C43"/>
    <w:rsid w:val="006809D2"/>
    <w:rsid w:val="006854BF"/>
    <w:rsid w:val="00686CBE"/>
    <w:rsid w:val="00691440"/>
    <w:rsid w:val="0069235C"/>
    <w:rsid w:val="006931D1"/>
    <w:rsid w:val="00693290"/>
    <w:rsid w:val="006952DE"/>
    <w:rsid w:val="00697B99"/>
    <w:rsid w:val="006A00DA"/>
    <w:rsid w:val="006A1099"/>
    <w:rsid w:val="006A4642"/>
    <w:rsid w:val="006A4829"/>
    <w:rsid w:val="006A6957"/>
    <w:rsid w:val="006A6B00"/>
    <w:rsid w:val="006B2C32"/>
    <w:rsid w:val="006B4920"/>
    <w:rsid w:val="006B512F"/>
    <w:rsid w:val="006B6547"/>
    <w:rsid w:val="006B73EE"/>
    <w:rsid w:val="006C13CF"/>
    <w:rsid w:val="006C528F"/>
    <w:rsid w:val="006C5399"/>
    <w:rsid w:val="006C763F"/>
    <w:rsid w:val="006C7A31"/>
    <w:rsid w:val="006D4789"/>
    <w:rsid w:val="006D7607"/>
    <w:rsid w:val="006E1098"/>
    <w:rsid w:val="006E302B"/>
    <w:rsid w:val="006E3432"/>
    <w:rsid w:val="006F3BEC"/>
    <w:rsid w:val="006F4576"/>
    <w:rsid w:val="006F5CD3"/>
    <w:rsid w:val="006F5CDC"/>
    <w:rsid w:val="006F69A7"/>
    <w:rsid w:val="006F766F"/>
    <w:rsid w:val="00702C8D"/>
    <w:rsid w:val="007038E2"/>
    <w:rsid w:val="00703ED2"/>
    <w:rsid w:val="00705646"/>
    <w:rsid w:val="00713230"/>
    <w:rsid w:val="0071457C"/>
    <w:rsid w:val="00715C0A"/>
    <w:rsid w:val="00716138"/>
    <w:rsid w:val="007207F6"/>
    <w:rsid w:val="00722778"/>
    <w:rsid w:val="007234E8"/>
    <w:rsid w:val="0072563D"/>
    <w:rsid w:val="00732C83"/>
    <w:rsid w:val="0073429B"/>
    <w:rsid w:val="007361DF"/>
    <w:rsid w:val="00736B65"/>
    <w:rsid w:val="00740821"/>
    <w:rsid w:val="007409CF"/>
    <w:rsid w:val="00742D41"/>
    <w:rsid w:val="007435F8"/>
    <w:rsid w:val="0074449A"/>
    <w:rsid w:val="007479F8"/>
    <w:rsid w:val="00750065"/>
    <w:rsid w:val="00750237"/>
    <w:rsid w:val="007523AB"/>
    <w:rsid w:val="00757062"/>
    <w:rsid w:val="007624BF"/>
    <w:rsid w:val="00763AE2"/>
    <w:rsid w:val="00767CE0"/>
    <w:rsid w:val="007737B1"/>
    <w:rsid w:val="00774444"/>
    <w:rsid w:val="00775500"/>
    <w:rsid w:val="0078078B"/>
    <w:rsid w:val="00781358"/>
    <w:rsid w:val="007819EA"/>
    <w:rsid w:val="00781F53"/>
    <w:rsid w:val="007823ED"/>
    <w:rsid w:val="00782C34"/>
    <w:rsid w:val="007849BA"/>
    <w:rsid w:val="00784D07"/>
    <w:rsid w:val="00787A1D"/>
    <w:rsid w:val="00787BAE"/>
    <w:rsid w:val="007905EC"/>
    <w:rsid w:val="00790E40"/>
    <w:rsid w:val="00791E4D"/>
    <w:rsid w:val="00791F05"/>
    <w:rsid w:val="007924A9"/>
    <w:rsid w:val="0079270C"/>
    <w:rsid w:val="00792FF0"/>
    <w:rsid w:val="00795969"/>
    <w:rsid w:val="00795B5C"/>
    <w:rsid w:val="00796511"/>
    <w:rsid w:val="00797A6B"/>
    <w:rsid w:val="00797E67"/>
    <w:rsid w:val="007A049D"/>
    <w:rsid w:val="007A44A0"/>
    <w:rsid w:val="007A47B9"/>
    <w:rsid w:val="007A7269"/>
    <w:rsid w:val="007A7725"/>
    <w:rsid w:val="007B0D86"/>
    <w:rsid w:val="007B0E0D"/>
    <w:rsid w:val="007B38EF"/>
    <w:rsid w:val="007B3C89"/>
    <w:rsid w:val="007B4133"/>
    <w:rsid w:val="007B4796"/>
    <w:rsid w:val="007B5C59"/>
    <w:rsid w:val="007C3483"/>
    <w:rsid w:val="007C5512"/>
    <w:rsid w:val="007C55ED"/>
    <w:rsid w:val="007C70C9"/>
    <w:rsid w:val="007D03AF"/>
    <w:rsid w:val="007D0984"/>
    <w:rsid w:val="007D1EEA"/>
    <w:rsid w:val="007D20BA"/>
    <w:rsid w:val="007D20F1"/>
    <w:rsid w:val="007D3814"/>
    <w:rsid w:val="007D48C2"/>
    <w:rsid w:val="007D5906"/>
    <w:rsid w:val="007D5CE4"/>
    <w:rsid w:val="007E09D1"/>
    <w:rsid w:val="007E0C14"/>
    <w:rsid w:val="007E26ED"/>
    <w:rsid w:val="007E5667"/>
    <w:rsid w:val="007E6DCC"/>
    <w:rsid w:val="007E7ABB"/>
    <w:rsid w:val="007E7E42"/>
    <w:rsid w:val="007F01D4"/>
    <w:rsid w:val="007F03B5"/>
    <w:rsid w:val="007F0EE3"/>
    <w:rsid w:val="007F2E3D"/>
    <w:rsid w:val="007F3517"/>
    <w:rsid w:val="007F7334"/>
    <w:rsid w:val="007F7DF1"/>
    <w:rsid w:val="00801E2E"/>
    <w:rsid w:val="00805860"/>
    <w:rsid w:val="00806A32"/>
    <w:rsid w:val="00806D93"/>
    <w:rsid w:val="008078A7"/>
    <w:rsid w:val="00807EA6"/>
    <w:rsid w:val="00811127"/>
    <w:rsid w:val="00811AC8"/>
    <w:rsid w:val="008130F0"/>
    <w:rsid w:val="0081442A"/>
    <w:rsid w:val="00815BE6"/>
    <w:rsid w:val="0081602A"/>
    <w:rsid w:val="00817CFC"/>
    <w:rsid w:val="008209D8"/>
    <w:rsid w:val="00820AF7"/>
    <w:rsid w:val="0082275D"/>
    <w:rsid w:val="0082462A"/>
    <w:rsid w:val="00826E0B"/>
    <w:rsid w:val="00833E4E"/>
    <w:rsid w:val="008347CB"/>
    <w:rsid w:val="00834C26"/>
    <w:rsid w:val="00842D23"/>
    <w:rsid w:val="008452A9"/>
    <w:rsid w:val="00845729"/>
    <w:rsid w:val="00850AD1"/>
    <w:rsid w:val="0085533F"/>
    <w:rsid w:val="00855E28"/>
    <w:rsid w:val="0085612E"/>
    <w:rsid w:val="00857033"/>
    <w:rsid w:val="00860BAC"/>
    <w:rsid w:val="00863031"/>
    <w:rsid w:val="0086522D"/>
    <w:rsid w:val="008679CA"/>
    <w:rsid w:val="00870311"/>
    <w:rsid w:val="00873B92"/>
    <w:rsid w:val="008753CF"/>
    <w:rsid w:val="00876C45"/>
    <w:rsid w:val="00876E9E"/>
    <w:rsid w:val="00877884"/>
    <w:rsid w:val="00881282"/>
    <w:rsid w:val="00887882"/>
    <w:rsid w:val="008942B0"/>
    <w:rsid w:val="00895EE7"/>
    <w:rsid w:val="008962EB"/>
    <w:rsid w:val="0089641D"/>
    <w:rsid w:val="008A18CF"/>
    <w:rsid w:val="008A1AA9"/>
    <w:rsid w:val="008A6250"/>
    <w:rsid w:val="008B1606"/>
    <w:rsid w:val="008B23FE"/>
    <w:rsid w:val="008B39F8"/>
    <w:rsid w:val="008B40B0"/>
    <w:rsid w:val="008C09CE"/>
    <w:rsid w:val="008C1B13"/>
    <w:rsid w:val="008C45CE"/>
    <w:rsid w:val="008C6418"/>
    <w:rsid w:val="008C7458"/>
    <w:rsid w:val="008D0836"/>
    <w:rsid w:val="008D1D9C"/>
    <w:rsid w:val="008D2B65"/>
    <w:rsid w:val="008D36D0"/>
    <w:rsid w:val="008D46D3"/>
    <w:rsid w:val="008D51A8"/>
    <w:rsid w:val="008D5FD8"/>
    <w:rsid w:val="008D7198"/>
    <w:rsid w:val="008D745C"/>
    <w:rsid w:val="008E1EBD"/>
    <w:rsid w:val="008E2AF2"/>
    <w:rsid w:val="008E4DBD"/>
    <w:rsid w:val="008E52C2"/>
    <w:rsid w:val="008E7B95"/>
    <w:rsid w:val="008E7CB1"/>
    <w:rsid w:val="008E7FB2"/>
    <w:rsid w:val="008F519F"/>
    <w:rsid w:val="008F6A88"/>
    <w:rsid w:val="00901B6E"/>
    <w:rsid w:val="0090564E"/>
    <w:rsid w:val="009056D2"/>
    <w:rsid w:val="00907E6D"/>
    <w:rsid w:val="00910E70"/>
    <w:rsid w:val="00910F0E"/>
    <w:rsid w:val="00911C1C"/>
    <w:rsid w:val="00920440"/>
    <w:rsid w:val="009206DB"/>
    <w:rsid w:val="00920D7A"/>
    <w:rsid w:val="00921621"/>
    <w:rsid w:val="00922F2A"/>
    <w:rsid w:val="009331A6"/>
    <w:rsid w:val="009348A2"/>
    <w:rsid w:val="00935C1D"/>
    <w:rsid w:val="00941F7D"/>
    <w:rsid w:val="0094302E"/>
    <w:rsid w:val="00945126"/>
    <w:rsid w:val="00945D2B"/>
    <w:rsid w:val="00946AE9"/>
    <w:rsid w:val="00950617"/>
    <w:rsid w:val="009512E1"/>
    <w:rsid w:val="00951481"/>
    <w:rsid w:val="009526EE"/>
    <w:rsid w:val="00953C1D"/>
    <w:rsid w:val="00956B67"/>
    <w:rsid w:val="00957959"/>
    <w:rsid w:val="00957A3C"/>
    <w:rsid w:val="00957CC3"/>
    <w:rsid w:val="00961E34"/>
    <w:rsid w:val="0096243D"/>
    <w:rsid w:val="0096579E"/>
    <w:rsid w:val="00965AA3"/>
    <w:rsid w:val="009705A7"/>
    <w:rsid w:val="00972292"/>
    <w:rsid w:val="00974702"/>
    <w:rsid w:val="00975DE4"/>
    <w:rsid w:val="0097656A"/>
    <w:rsid w:val="00977148"/>
    <w:rsid w:val="00981C43"/>
    <w:rsid w:val="009837DB"/>
    <w:rsid w:val="00983987"/>
    <w:rsid w:val="00984F59"/>
    <w:rsid w:val="009876A3"/>
    <w:rsid w:val="009917E0"/>
    <w:rsid w:val="00996C0E"/>
    <w:rsid w:val="00996C1F"/>
    <w:rsid w:val="00997C7B"/>
    <w:rsid w:val="009A08DC"/>
    <w:rsid w:val="009A616D"/>
    <w:rsid w:val="009A7873"/>
    <w:rsid w:val="009B17A8"/>
    <w:rsid w:val="009B18AE"/>
    <w:rsid w:val="009B2B08"/>
    <w:rsid w:val="009B3394"/>
    <w:rsid w:val="009B465E"/>
    <w:rsid w:val="009B7C60"/>
    <w:rsid w:val="009C2C07"/>
    <w:rsid w:val="009C4496"/>
    <w:rsid w:val="009C4A8C"/>
    <w:rsid w:val="009C4E9E"/>
    <w:rsid w:val="009C552D"/>
    <w:rsid w:val="009C576D"/>
    <w:rsid w:val="009C6359"/>
    <w:rsid w:val="009C77B2"/>
    <w:rsid w:val="009D0C4A"/>
    <w:rsid w:val="009D16C6"/>
    <w:rsid w:val="009D2EDF"/>
    <w:rsid w:val="009D43FD"/>
    <w:rsid w:val="009D6CC6"/>
    <w:rsid w:val="009E17C5"/>
    <w:rsid w:val="009E1DAC"/>
    <w:rsid w:val="009E2B00"/>
    <w:rsid w:val="009E3850"/>
    <w:rsid w:val="009E4F74"/>
    <w:rsid w:val="009E5F7D"/>
    <w:rsid w:val="009E6144"/>
    <w:rsid w:val="009F7464"/>
    <w:rsid w:val="00A00180"/>
    <w:rsid w:val="00A015DC"/>
    <w:rsid w:val="00A022D7"/>
    <w:rsid w:val="00A044B8"/>
    <w:rsid w:val="00A06C1F"/>
    <w:rsid w:val="00A06ECD"/>
    <w:rsid w:val="00A107BF"/>
    <w:rsid w:val="00A13894"/>
    <w:rsid w:val="00A20AE4"/>
    <w:rsid w:val="00A21C76"/>
    <w:rsid w:val="00A244E7"/>
    <w:rsid w:val="00A24617"/>
    <w:rsid w:val="00A26023"/>
    <w:rsid w:val="00A303F0"/>
    <w:rsid w:val="00A32186"/>
    <w:rsid w:val="00A32313"/>
    <w:rsid w:val="00A32F08"/>
    <w:rsid w:val="00A35D24"/>
    <w:rsid w:val="00A422C2"/>
    <w:rsid w:val="00A4325D"/>
    <w:rsid w:val="00A441FA"/>
    <w:rsid w:val="00A44FA5"/>
    <w:rsid w:val="00A4526F"/>
    <w:rsid w:val="00A459CB"/>
    <w:rsid w:val="00A47740"/>
    <w:rsid w:val="00A50811"/>
    <w:rsid w:val="00A51DE1"/>
    <w:rsid w:val="00A53F4E"/>
    <w:rsid w:val="00A54C3D"/>
    <w:rsid w:val="00A557F2"/>
    <w:rsid w:val="00A559F0"/>
    <w:rsid w:val="00A57911"/>
    <w:rsid w:val="00A6058C"/>
    <w:rsid w:val="00A6151E"/>
    <w:rsid w:val="00A61934"/>
    <w:rsid w:val="00A64779"/>
    <w:rsid w:val="00A64B07"/>
    <w:rsid w:val="00A651A0"/>
    <w:rsid w:val="00A67C90"/>
    <w:rsid w:val="00A67F91"/>
    <w:rsid w:val="00A716FE"/>
    <w:rsid w:val="00A71858"/>
    <w:rsid w:val="00A73B32"/>
    <w:rsid w:val="00A748EC"/>
    <w:rsid w:val="00A7492F"/>
    <w:rsid w:val="00A76B8C"/>
    <w:rsid w:val="00A80C8E"/>
    <w:rsid w:val="00A83C2E"/>
    <w:rsid w:val="00A87757"/>
    <w:rsid w:val="00A93E99"/>
    <w:rsid w:val="00A947FE"/>
    <w:rsid w:val="00A94DAF"/>
    <w:rsid w:val="00A95CA0"/>
    <w:rsid w:val="00AA0973"/>
    <w:rsid w:val="00AA1013"/>
    <w:rsid w:val="00AA257E"/>
    <w:rsid w:val="00AA3D95"/>
    <w:rsid w:val="00AA4A3A"/>
    <w:rsid w:val="00AA68D4"/>
    <w:rsid w:val="00AB216C"/>
    <w:rsid w:val="00AB3B6C"/>
    <w:rsid w:val="00AB4C33"/>
    <w:rsid w:val="00AC071D"/>
    <w:rsid w:val="00AC24BB"/>
    <w:rsid w:val="00AC2D98"/>
    <w:rsid w:val="00AC5AA2"/>
    <w:rsid w:val="00AC5ABD"/>
    <w:rsid w:val="00AD15FB"/>
    <w:rsid w:val="00AD298C"/>
    <w:rsid w:val="00AD694A"/>
    <w:rsid w:val="00AD78D0"/>
    <w:rsid w:val="00AE2774"/>
    <w:rsid w:val="00AE285C"/>
    <w:rsid w:val="00AE426E"/>
    <w:rsid w:val="00AE5238"/>
    <w:rsid w:val="00AE6614"/>
    <w:rsid w:val="00AE7CDB"/>
    <w:rsid w:val="00AE7E33"/>
    <w:rsid w:val="00AF148E"/>
    <w:rsid w:val="00AF2E50"/>
    <w:rsid w:val="00AF4DD6"/>
    <w:rsid w:val="00AF5323"/>
    <w:rsid w:val="00B05CD0"/>
    <w:rsid w:val="00B05FEA"/>
    <w:rsid w:val="00B0614A"/>
    <w:rsid w:val="00B06280"/>
    <w:rsid w:val="00B07ACF"/>
    <w:rsid w:val="00B12345"/>
    <w:rsid w:val="00B16449"/>
    <w:rsid w:val="00B22757"/>
    <w:rsid w:val="00B253D0"/>
    <w:rsid w:val="00B2769B"/>
    <w:rsid w:val="00B315D2"/>
    <w:rsid w:val="00B31718"/>
    <w:rsid w:val="00B318EE"/>
    <w:rsid w:val="00B33FBD"/>
    <w:rsid w:val="00B375AC"/>
    <w:rsid w:val="00B46447"/>
    <w:rsid w:val="00B47095"/>
    <w:rsid w:val="00B524D5"/>
    <w:rsid w:val="00B52F64"/>
    <w:rsid w:val="00B56FC3"/>
    <w:rsid w:val="00B576A5"/>
    <w:rsid w:val="00B578E5"/>
    <w:rsid w:val="00B6136A"/>
    <w:rsid w:val="00B65B29"/>
    <w:rsid w:val="00B670AE"/>
    <w:rsid w:val="00B740F0"/>
    <w:rsid w:val="00B75DFA"/>
    <w:rsid w:val="00B8294A"/>
    <w:rsid w:val="00B8574F"/>
    <w:rsid w:val="00B94218"/>
    <w:rsid w:val="00B96228"/>
    <w:rsid w:val="00B96B0E"/>
    <w:rsid w:val="00B97466"/>
    <w:rsid w:val="00B979CD"/>
    <w:rsid w:val="00BA4FE4"/>
    <w:rsid w:val="00BB3118"/>
    <w:rsid w:val="00BB7650"/>
    <w:rsid w:val="00BB7A37"/>
    <w:rsid w:val="00BB7A85"/>
    <w:rsid w:val="00BC0147"/>
    <w:rsid w:val="00BC0E11"/>
    <w:rsid w:val="00BC2004"/>
    <w:rsid w:val="00BC3CAE"/>
    <w:rsid w:val="00BC5A8B"/>
    <w:rsid w:val="00BC77B5"/>
    <w:rsid w:val="00BD0B21"/>
    <w:rsid w:val="00BD2034"/>
    <w:rsid w:val="00BD3883"/>
    <w:rsid w:val="00BD3D63"/>
    <w:rsid w:val="00BD3FCA"/>
    <w:rsid w:val="00BD527B"/>
    <w:rsid w:val="00BD549F"/>
    <w:rsid w:val="00BD732F"/>
    <w:rsid w:val="00BE1CF1"/>
    <w:rsid w:val="00BE32B7"/>
    <w:rsid w:val="00BE3C8A"/>
    <w:rsid w:val="00BF1F04"/>
    <w:rsid w:val="00BF22DB"/>
    <w:rsid w:val="00BF3107"/>
    <w:rsid w:val="00BF46AD"/>
    <w:rsid w:val="00BF4C99"/>
    <w:rsid w:val="00BF552E"/>
    <w:rsid w:val="00BF64C2"/>
    <w:rsid w:val="00BF6595"/>
    <w:rsid w:val="00BF7518"/>
    <w:rsid w:val="00C00093"/>
    <w:rsid w:val="00C00347"/>
    <w:rsid w:val="00C0254C"/>
    <w:rsid w:val="00C036E2"/>
    <w:rsid w:val="00C03A0E"/>
    <w:rsid w:val="00C0680B"/>
    <w:rsid w:val="00C0790B"/>
    <w:rsid w:val="00C1046D"/>
    <w:rsid w:val="00C10A33"/>
    <w:rsid w:val="00C11872"/>
    <w:rsid w:val="00C1271A"/>
    <w:rsid w:val="00C14851"/>
    <w:rsid w:val="00C14A1E"/>
    <w:rsid w:val="00C14E39"/>
    <w:rsid w:val="00C151AF"/>
    <w:rsid w:val="00C16845"/>
    <w:rsid w:val="00C16937"/>
    <w:rsid w:val="00C2014F"/>
    <w:rsid w:val="00C212A7"/>
    <w:rsid w:val="00C213A9"/>
    <w:rsid w:val="00C22504"/>
    <w:rsid w:val="00C249D9"/>
    <w:rsid w:val="00C2775D"/>
    <w:rsid w:val="00C33C10"/>
    <w:rsid w:val="00C34259"/>
    <w:rsid w:val="00C34A95"/>
    <w:rsid w:val="00C3525A"/>
    <w:rsid w:val="00C4181E"/>
    <w:rsid w:val="00C45BCA"/>
    <w:rsid w:val="00C4791E"/>
    <w:rsid w:val="00C5062A"/>
    <w:rsid w:val="00C51B89"/>
    <w:rsid w:val="00C51D30"/>
    <w:rsid w:val="00C5267F"/>
    <w:rsid w:val="00C526BA"/>
    <w:rsid w:val="00C528E1"/>
    <w:rsid w:val="00C52F31"/>
    <w:rsid w:val="00C53827"/>
    <w:rsid w:val="00C5473D"/>
    <w:rsid w:val="00C62438"/>
    <w:rsid w:val="00C629F1"/>
    <w:rsid w:val="00C63591"/>
    <w:rsid w:val="00C65D1F"/>
    <w:rsid w:val="00C660FD"/>
    <w:rsid w:val="00C67CA9"/>
    <w:rsid w:val="00C74E7C"/>
    <w:rsid w:val="00C7694C"/>
    <w:rsid w:val="00C81EA7"/>
    <w:rsid w:val="00C825AE"/>
    <w:rsid w:val="00C85132"/>
    <w:rsid w:val="00C85FA6"/>
    <w:rsid w:val="00C87350"/>
    <w:rsid w:val="00C90AE3"/>
    <w:rsid w:val="00C915B1"/>
    <w:rsid w:val="00C932BC"/>
    <w:rsid w:val="00C93F02"/>
    <w:rsid w:val="00C97120"/>
    <w:rsid w:val="00C9719F"/>
    <w:rsid w:val="00CA00F3"/>
    <w:rsid w:val="00CA053B"/>
    <w:rsid w:val="00CA134A"/>
    <w:rsid w:val="00CA3ACC"/>
    <w:rsid w:val="00CA443E"/>
    <w:rsid w:val="00CA69B2"/>
    <w:rsid w:val="00CB16A4"/>
    <w:rsid w:val="00CB36AA"/>
    <w:rsid w:val="00CB515A"/>
    <w:rsid w:val="00CB5F0D"/>
    <w:rsid w:val="00CB7A18"/>
    <w:rsid w:val="00CB7E44"/>
    <w:rsid w:val="00CC2356"/>
    <w:rsid w:val="00CC319D"/>
    <w:rsid w:val="00CC3A1F"/>
    <w:rsid w:val="00CC5BB2"/>
    <w:rsid w:val="00CD10CC"/>
    <w:rsid w:val="00CD2D85"/>
    <w:rsid w:val="00CD3669"/>
    <w:rsid w:val="00CD3919"/>
    <w:rsid w:val="00CE33F7"/>
    <w:rsid w:val="00CE3F02"/>
    <w:rsid w:val="00CE70D3"/>
    <w:rsid w:val="00CE78AB"/>
    <w:rsid w:val="00CE7E1B"/>
    <w:rsid w:val="00CF15CE"/>
    <w:rsid w:val="00CF3584"/>
    <w:rsid w:val="00CF5FA5"/>
    <w:rsid w:val="00CF76EF"/>
    <w:rsid w:val="00D003DA"/>
    <w:rsid w:val="00D00A02"/>
    <w:rsid w:val="00D03450"/>
    <w:rsid w:val="00D03582"/>
    <w:rsid w:val="00D05260"/>
    <w:rsid w:val="00D113A4"/>
    <w:rsid w:val="00D113DD"/>
    <w:rsid w:val="00D12FC5"/>
    <w:rsid w:val="00D1308E"/>
    <w:rsid w:val="00D143D9"/>
    <w:rsid w:val="00D1676A"/>
    <w:rsid w:val="00D21BD6"/>
    <w:rsid w:val="00D2478E"/>
    <w:rsid w:val="00D30255"/>
    <w:rsid w:val="00D30A31"/>
    <w:rsid w:val="00D30AC6"/>
    <w:rsid w:val="00D331B5"/>
    <w:rsid w:val="00D33C61"/>
    <w:rsid w:val="00D35918"/>
    <w:rsid w:val="00D35C1E"/>
    <w:rsid w:val="00D3776A"/>
    <w:rsid w:val="00D37C23"/>
    <w:rsid w:val="00D40B00"/>
    <w:rsid w:val="00D4127B"/>
    <w:rsid w:val="00D42B8C"/>
    <w:rsid w:val="00D45E7A"/>
    <w:rsid w:val="00D47C37"/>
    <w:rsid w:val="00D514D8"/>
    <w:rsid w:val="00D523A5"/>
    <w:rsid w:val="00D573CE"/>
    <w:rsid w:val="00D623DF"/>
    <w:rsid w:val="00D62DB5"/>
    <w:rsid w:val="00D63E7A"/>
    <w:rsid w:val="00D720ED"/>
    <w:rsid w:val="00D76155"/>
    <w:rsid w:val="00D76FEF"/>
    <w:rsid w:val="00D77A2C"/>
    <w:rsid w:val="00D81F41"/>
    <w:rsid w:val="00D821DC"/>
    <w:rsid w:val="00D82A8E"/>
    <w:rsid w:val="00D836A3"/>
    <w:rsid w:val="00D87362"/>
    <w:rsid w:val="00D90696"/>
    <w:rsid w:val="00D90B8F"/>
    <w:rsid w:val="00D91898"/>
    <w:rsid w:val="00D92FCC"/>
    <w:rsid w:val="00D93264"/>
    <w:rsid w:val="00D94906"/>
    <w:rsid w:val="00D94D61"/>
    <w:rsid w:val="00D965E0"/>
    <w:rsid w:val="00D97ECF"/>
    <w:rsid w:val="00DA08CA"/>
    <w:rsid w:val="00DA0A5F"/>
    <w:rsid w:val="00DA26EC"/>
    <w:rsid w:val="00DA344E"/>
    <w:rsid w:val="00DA3A4D"/>
    <w:rsid w:val="00DA3AFE"/>
    <w:rsid w:val="00DA4FAE"/>
    <w:rsid w:val="00DA5639"/>
    <w:rsid w:val="00DB1915"/>
    <w:rsid w:val="00DB2042"/>
    <w:rsid w:val="00DB2F9F"/>
    <w:rsid w:val="00DB5241"/>
    <w:rsid w:val="00DB63CC"/>
    <w:rsid w:val="00DB6CDA"/>
    <w:rsid w:val="00DC1C82"/>
    <w:rsid w:val="00DC291C"/>
    <w:rsid w:val="00DC2C52"/>
    <w:rsid w:val="00DC4B5A"/>
    <w:rsid w:val="00DC57CA"/>
    <w:rsid w:val="00DD022E"/>
    <w:rsid w:val="00DD0D4E"/>
    <w:rsid w:val="00DD59E3"/>
    <w:rsid w:val="00DE215B"/>
    <w:rsid w:val="00DE216C"/>
    <w:rsid w:val="00DF066C"/>
    <w:rsid w:val="00DF101D"/>
    <w:rsid w:val="00DF4120"/>
    <w:rsid w:val="00DF4494"/>
    <w:rsid w:val="00DF4596"/>
    <w:rsid w:val="00DF4D48"/>
    <w:rsid w:val="00DF4F7B"/>
    <w:rsid w:val="00E00C8A"/>
    <w:rsid w:val="00E028A9"/>
    <w:rsid w:val="00E07EE8"/>
    <w:rsid w:val="00E11703"/>
    <w:rsid w:val="00E14581"/>
    <w:rsid w:val="00E15A61"/>
    <w:rsid w:val="00E15EEE"/>
    <w:rsid w:val="00E17233"/>
    <w:rsid w:val="00E234B5"/>
    <w:rsid w:val="00E235B1"/>
    <w:rsid w:val="00E30B85"/>
    <w:rsid w:val="00E400A2"/>
    <w:rsid w:val="00E43607"/>
    <w:rsid w:val="00E45934"/>
    <w:rsid w:val="00E468FF"/>
    <w:rsid w:val="00E46D72"/>
    <w:rsid w:val="00E4799F"/>
    <w:rsid w:val="00E5064B"/>
    <w:rsid w:val="00E50D76"/>
    <w:rsid w:val="00E55986"/>
    <w:rsid w:val="00E57B5E"/>
    <w:rsid w:val="00E6253D"/>
    <w:rsid w:val="00E65C7A"/>
    <w:rsid w:val="00E65E92"/>
    <w:rsid w:val="00E66B6D"/>
    <w:rsid w:val="00E67430"/>
    <w:rsid w:val="00E73D40"/>
    <w:rsid w:val="00E755A5"/>
    <w:rsid w:val="00E776F1"/>
    <w:rsid w:val="00E81295"/>
    <w:rsid w:val="00E81567"/>
    <w:rsid w:val="00E85887"/>
    <w:rsid w:val="00E860B5"/>
    <w:rsid w:val="00E901D1"/>
    <w:rsid w:val="00E90C4D"/>
    <w:rsid w:val="00EA47B0"/>
    <w:rsid w:val="00EB0D54"/>
    <w:rsid w:val="00EB44AB"/>
    <w:rsid w:val="00EB47D0"/>
    <w:rsid w:val="00EC0CF1"/>
    <w:rsid w:val="00EC21AD"/>
    <w:rsid w:val="00EC5F62"/>
    <w:rsid w:val="00EC7BC3"/>
    <w:rsid w:val="00ED0588"/>
    <w:rsid w:val="00ED0BD4"/>
    <w:rsid w:val="00ED0F8B"/>
    <w:rsid w:val="00ED25E8"/>
    <w:rsid w:val="00ED3135"/>
    <w:rsid w:val="00ED4F9F"/>
    <w:rsid w:val="00EE09B5"/>
    <w:rsid w:val="00EE1D2E"/>
    <w:rsid w:val="00EE2B46"/>
    <w:rsid w:val="00EE3F92"/>
    <w:rsid w:val="00EE67FE"/>
    <w:rsid w:val="00EE7E1D"/>
    <w:rsid w:val="00EF1FC6"/>
    <w:rsid w:val="00EF1FC9"/>
    <w:rsid w:val="00EF2EEE"/>
    <w:rsid w:val="00EF58A1"/>
    <w:rsid w:val="00EF594E"/>
    <w:rsid w:val="00EF6246"/>
    <w:rsid w:val="00F01579"/>
    <w:rsid w:val="00F034B4"/>
    <w:rsid w:val="00F04FAE"/>
    <w:rsid w:val="00F06D51"/>
    <w:rsid w:val="00F115FF"/>
    <w:rsid w:val="00F154A4"/>
    <w:rsid w:val="00F15610"/>
    <w:rsid w:val="00F16D53"/>
    <w:rsid w:val="00F2235A"/>
    <w:rsid w:val="00F239BC"/>
    <w:rsid w:val="00F2407E"/>
    <w:rsid w:val="00F24ABA"/>
    <w:rsid w:val="00F2549F"/>
    <w:rsid w:val="00F2575A"/>
    <w:rsid w:val="00F25E00"/>
    <w:rsid w:val="00F277F9"/>
    <w:rsid w:val="00F32E09"/>
    <w:rsid w:val="00F33C3B"/>
    <w:rsid w:val="00F348D2"/>
    <w:rsid w:val="00F352F2"/>
    <w:rsid w:val="00F35600"/>
    <w:rsid w:val="00F367A4"/>
    <w:rsid w:val="00F43A21"/>
    <w:rsid w:val="00F46152"/>
    <w:rsid w:val="00F472A1"/>
    <w:rsid w:val="00F548E4"/>
    <w:rsid w:val="00F55287"/>
    <w:rsid w:val="00F56636"/>
    <w:rsid w:val="00F567DA"/>
    <w:rsid w:val="00F5786D"/>
    <w:rsid w:val="00F57DF2"/>
    <w:rsid w:val="00F60208"/>
    <w:rsid w:val="00F6271A"/>
    <w:rsid w:val="00F637BE"/>
    <w:rsid w:val="00F70355"/>
    <w:rsid w:val="00F703CB"/>
    <w:rsid w:val="00F705B7"/>
    <w:rsid w:val="00F73583"/>
    <w:rsid w:val="00F73890"/>
    <w:rsid w:val="00F773F0"/>
    <w:rsid w:val="00F826A8"/>
    <w:rsid w:val="00F84AC4"/>
    <w:rsid w:val="00F86E2F"/>
    <w:rsid w:val="00F87C29"/>
    <w:rsid w:val="00F934B2"/>
    <w:rsid w:val="00F9393A"/>
    <w:rsid w:val="00F9559B"/>
    <w:rsid w:val="00F956AD"/>
    <w:rsid w:val="00FA0076"/>
    <w:rsid w:val="00FA00D2"/>
    <w:rsid w:val="00FA105E"/>
    <w:rsid w:val="00FA1C2E"/>
    <w:rsid w:val="00FB05DE"/>
    <w:rsid w:val="00FB24D2"/>
    <w:rsid w:val="00FB25CC"/>
    <w:rsid w:val="00FB5128"/>
    <w:rsid w:val="00FB56C9"/>
    <w:rsid w:val="00FB5BD8"/>
    <w:rsid w:val="00FC177B"/>
    <w:rsid w:val="00FC2BA2"/>
    <w:rsid w:val="00FD2C75"/>
    <w:rsid w:val="00FD42EE"/>
    <w:rsid w:val="00FD483C"/>
    <w:rsid w:val="00FD517F"/>
    <w:rsid w:val="00FD5DF0"/>
    <w:rsid w:val="00FD7768"/>
    <w:rsid w:val="00FE32DA"/>
    <w:rsid w:val="00FE3653"/>
    <w:rsid w:val="00FE4151"/>
    <w:rsid w:val="00FF2DDE"/>
    <w:rsid w:val="00FF3497"/>
    <w:rsid w:val="00FF4701"/>
    <w:rsid w:val="00FF5F70"/>
    <w:rsid w:val="00FF72F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7DB8E7"/>
  <w15:docId w15:val="{76E5A3D7-DC99-41FF-BD87-D76BB2A24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uiPriority="99"/>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
    <w:name w:val="Normal"/>
    <w:qFormat/>
    <w:rsid w:val="00850AD1"/>
    <w:pPr>
      <w:spacing w:after="120"/>
      <w:jc w:val="both"/>
    </w:pPr>
    <w:rPr>
      <w:rFonts w:ascii="Garamond" w:hAnsi="Garamond" w:cs="Arial"/>
      <w:sz w:val="24"/>
      <w:szCs w:val="24"/>
    </w:rPr>
  </w:style>
  <w:style w:type="paragraph" w:styleId="Cmsor1">
    <w:name w:val="heading 1"/>
    <w:aliases w:val="Numbered - 1,intoduction"/>
    <w:basedOn w:val="Norml"/>
    <w:next w:val="Norml"/>
    <w:link w:val="Cmsor1Char"/>
    <w:autoRedefine/>
    <w:uiPriority w:val="99"/>
    <w:qFormat/>
    <w:rsid w:val="00620D3E"/>
    <w:pPr>
      <w:keepNext/>
      <w:numPr>
        <w:numId w:val="1"/>
      </w:numPr>
      <w:spacing w:before="480" w:after="480"/>
      <w:outlineLvl w:val="0"/>
    </w:pPr>
    <w:rPr>
      <w:b/>
      <w:bCs/>
      <w:kern w:val="32"/>
      <w:sz w:val="40"/>
      <w:szCs w:val="32"/>
    </w:rPr>
  </w:style>
  <w:style w:type="paragraph" w:styleId="Cmsor2">
    <w:name w:val="heading 2"/>
    <w:aliases w:val="Numbered - 2,Fejléc 2,Címsor Kísérőlevél II belül felsorolás"/>
    <w:basedOn w:val="Norml"/>
    <w:next w:val="Norml"/>
    <w:link w:val="Cmsor2Char"/>
    <w:autoRedefine/>
    <w:uiPriority w:val="99"/>
    <w:qFormat/>
    <w:rsid w:val="00D93264"/>
    <w:pPr>
      <w:keepNext/>
      <w:numPr>
        <w:ilvl w:val="1"/>
        <w:numId w:val="1"/>
      </w:numPr>
      <w:spacing w:before="240" w:after="240"/>
      <w:outlineLvl w:val="1"/>
    </w:pPr>
    <w:rPr>
      <w:b/>
      <w:bCs/>
      <w:iCs/>
      <w:sz w:val="32"/>
      <w:szCs w:val="28"/>
    </w:rPr>
  </w:style>
  <w:style w:type="paragraph" w:styleId="Cmsor3">
    <w:name w:val="heading 3"/>
    <w:aliases w:val="Numbered - 3"/>
    <w:basedOn w:val="Norml"/>
    <w:next w:val="Norml"/>
    <w:link w:val="Cmsor3Char"/>
    <w:autoRedefine/>
    <w:uiPriority w:val="99"/>
    <w:qFormat/>
    <w:rsid w:val="00E81567"/>
    <w:pPr>
      <w:keepNext/>
      <w:numPr>
        <w:ilvl w:val="2"/>
        <w:numId w:val="1"/>
      </w:numPr>
      <w:spacing w:before="240"/>
      <w:outlineLvl w:val="2"/>
    </w:pPr>
    <w:rPr>
      <w:b/>
      <w:bCs/>
      <w:szCs w:val="26"/>
    </w:rPr>
  </w:style>
  <w:style w:type="paragraph" w:styleId="Cmsor4">
    <w:name w:val="heading 4"/>
    <w:basedOn w:val="Norml"/>
    <w:next w:val="Norml"/>
    <w:link w:val="Cmsor4Char"/>
    <w:uiPriority w:val="99"/>
    <w:qFormat/>
    <w:rsid w:val="00623AC2"/>
    <w:pPr>
      <w:keepNext/>
      <w:numPr>
        <w:ilvl w:val="3"/>
        <w:numId w:val="1"/>
      </w:numPr>
      <w:spacing w:before="120"/>
      <w:outlineLvl w:val="3"/>
    </w:pPr>
    <w:rPr>
      <w:rFonts w:cs="Times New Roman"/>
      <w:bCs/>
      <w:i/>
      <w:szCs w:val="28"/>
    </w:rPr>
  </w:style>
  <w:style w:type="paragraph" w:styleId="Cmsor5">
    <w:name w:val="heading 5"/>
    <w:basedOn w:val="Norml"/>
    <w:next w:val="Norml"/>
    <w:link w:val="Cmsor5Char"/>
    <w:autoRedefine/>
    <w:uiPriority w:val="99"/>
    <w:qFormat/>
    <w:rsid w:val="00EE2B46"/>
    <w:pPr>
      <w:numPr>
        <w:ilvl w:val="4"/>
        <w:numId w:val="1"/>
      </w:numPr>
      <w:spacing w:before="120"/>
      <w:outlineLvl w:val="4"/>
    </w:pPr>
    <w:rPr>
      <w:bCs/>
      <w:i/>
      <w:iCs/>
      <w:szCs w:val="26"/>
    </w:rPr>
  </w:style>
  <w:style w:type="paragraph" w:styleId="Cmsor6">
    <w:name w:val="heading 6"/>
    <w:basedOn w:val="Norml"/>
    <w:next w:val="Norml"/>
    <w:link w:val="Cmsor6Char"/>
    <w:uiPriority w:val="99"/>
    <w:qFormat/>
    <w:rsid w:val="00172A3C"/>
    <w:pPr>
      <w:numPr>
        <w:ilvl w:val="5"/>
        <w:numId w:val="1"/>
      </w:numPr>
      <w:spacing w:before="240" w:after="60"/>
      <w:outlineLvl w:val="5"/>
    </w:pPr>
    <w:rPr>
      <w:rFonts w:ascii="Times New Roman" w:hAnsi="Times New Roman" w:cs="Times New Roman"/>
      <w:b/>
      <w:bCs/>
      <w:szCs w:val="22"/>
    </w:rPr>
  </w:style>
  <w:style w:type="paragraph" w:styleId="Cmsor7">
    <w:name w:val="heading 7"/>
    <w:basedOn w:val="Norml"/>
    <w:next w:val="Norml"/>
    <w:link w:val="Cmsor7Char"/>
    <w:uiPriority w:val="9"/>
    <w:qFormat/>
    <w:rsid w:val="00172A3C"/>
    <w:pPr>
      <w:numPr>
        <w:ilvl w:val="6"/>
        <w:numId w:val="1"/>
      </w:numPr>
      <w:spacing w:before="240" w:after="60"/>
      <w:outlineLvl w:val="6"/>
    </w:pPr>
    <w:rPr>
      <w:rFonts w:ascii="Times New Roman" w:hAnsi="Times New Roman" w:cs="Times New Roman"/>
    </w:rPr>
  </w:style>
  <w:style w:type="paragraph" w:styleId="Cmsor8">
    <w:name w:val="heading 8"/>
    <w:basedOn w:val="Norml"/>
    <w:next w:val="Norml"/>
    <w:link w:val="Cmsor8Char"/>
    <w:uiPriority w:val="9"/>
    <w:qFormat/>
    <w:rsid w:val="00172A3C"/>
    <w:pPr>
      <w:numPr>
        <w:ilvl w:val="7"/>
        <w:numId w:val="1"/>
      </w:numPr>
      <w:spacing w:before="240" w:after="60"/>
      <w:outlineLvl w:val="7"/>
    </w:pPr>
    <w:rPr>
      <w:rFonts w:ascii="Times New Roman" w:hAnsi="Times New Roman" w:cs="Times New Roman"/>
      <w:i/>
      <w:iCs/>
    </w:rPr>
  </w:style>
  <w:style w:type="paragraph" w:styleId="Cmsor9">
    <w:name w:val="heading 9"/>
    <w:basedOn w:val="Norml"/>
    <w:next w:val="Norml"/>
    <w:link w:val="Cmsor9Char"/>
    <w:uiPriority w:val="9"/>
    <w:qFormat/>
    <w:rsid w:val="00172A3C"/>
    <w:pPr>
      <w:numPr>
        <w:ilvl w:val="8"/>
        <w:numId w:val="1"/>
      </w:numPr>
      <w:spacing w:before="240" w:after="60"/>
      <w:outlineLvl w:val="8"/>
    </w:pPr>
    <w:rPr>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StlusArial10pt">
    <w:name w:val="Stílus Arial 10 pt"/>
    <w:rsid w:val="00285E6A"/>
    <w:rPr>
      <w:rFonts w:ascii="Arial" w:hAnsi="Arial"/>
      <w:sz w:val="20"/>
    </w:rPr>
  </w:style>
  <w:style w:type="paragraph" w:styleId="Lbjegyzetszveg">
    <w:name w:val="footnote text"/>
    <w:aliases w:val="Footnote,Footnote Text Char,Footnote Char,Char1 Char1,Char1 Char Char1,Char1 Char Char Char,Lábjegyzetszöveg Char Char Char,Lábjegyzetszöveg Char1 Char,Lábjegyzetszöveg Char1 Char Char Char1 Char"/>
    <w:basedOn w:val="Norml"/>
    <w:link w:val="LbjegyzetszvegChar"/>
    <w:autoRedefine/>
    <w:uiPriority w:val="99"/>
    <w:rsid w:val="00DC4B5A"/>
    <w:pPr>
      <w:spacing w:after="0"/>
      <w:jc w:val="left"/>
    </w:pPr>
    <w:rPr>
      <w:rFonts w:cs="Times New Roman"/>
      <w:sz w:val="20"/>
      <w:szCs w:val="20"/>
    </w:rPr>
  </w:style>
  <w:style w:type="paragraph" w:styleId="Kpalrs">
    <w:name w:val="caption"/>
    <w:basedOn w:val="Norml"/>
    <w:next w:val="Norml"/>
    <w:link w:val="KpalrsChar"/>
    <w:autoRedefine/>
    <w:qFormat/>
    <w:rsid w:val="00815BE6"/>
    <w:pPr>
      <w:spacing w:before="120" w:after="240"/>
      <w:jc w:val="center"/>
    </w:pPr>
    <w:rPr>
      <w:b/>
      <w:bCs/>
      <w:noProof/>
      <w:sz w:val="22"/>
      <w:szCs w:val="20"/>
    </w:rPr>
  </w:style>
  <w:style w:type="table" w:styleId="Rcsostblzat">
    <w:name w:val="Table Grid"/>
    <w:basedOn w:val="Normltblzat"/>
    <w:rsid w:val="00715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lb">
    <w:name w:val="footer"/>
    <w:basedOn w:val="Norml"/>
    <w:link w:val="llbChar"/>
    <w:uiPriority w:val="99"/>
    <w:rsid w:val="00106C2B"/>
    <w:pPr>
      <w:tabs>
        <w:tab w:val="center" w:pos="4536"/>
        <w:tab w:val="right" w:pos="9072"/>
      </w:tabs>
    </w:pPr>
  </w:style>
  <w:style w:type="character" w:styleId="Oldalszm">
    <w:name w:val="page number"/>
    <w:basedOn w:val="Bekezdsalapbettpusa"/>
    <w:rsid w:val="00106C2B"/>
  </w:style>
  <w:style w:type="paragraph" w:styleId="lfej">
    <w:name w:val="header"/>
    <w:basedOn w:val="Norml"/>
    <w:link w:val="lfejChar"/>
    <w:uiPriority w:val="99"/>
    <w:rsid w:val="00106C2B"/>
    <w:pPr>
      <w:tabs>
        <w:tab w:val="center" w:pos="4536"/>
        <w:tab w:val="right" w:pos="9072"/>
      </w:tabs>
    </w:pPr>
  </w:style>
  <w:style w:type="paragraph" w:customStyle="1" w:styleId="StlusKpalrsUtna0ptSorkzszimpla">
    <w:name w:val="Stílus Képaláírás + Utána:  0 pt Sorköz:  szimpla"/>
    <w:basedOn w:val="Kpalrs"/>
    <w:rsid w:val="0011774F"/>
    <w:pPr>
      <w:keepNext/>
      <w:spacing w:after="0"/>
    </w:pPr>
    <w:rPr>
      <w:rFonts w:cs="Times New Roman"/>
    </w:rPr>
  </w:style>
  <w:style w:type="character" w:styleId="Lbjegyzet-hivatkozs">
    <w:name w:val="footnote reference"/>
    <w:aliases w:val="Footnote symbol,BVI fnr"/>
    <w:rsid w:val="004B3280"/>
    <w:rPr>
      <w:vertAlign w:val="superscript"/>
    </w:rPr>
  </w:style>
  <w:style w:type="paragraph" w:customStyle="1" w:styleId="StlusKpalrs11pt">
    <w:name w:val="Stílus Képaláírás + 11 pt"/>
    <w:basedOn w:val="Kpalrs"/>
    <w:link w:val="StlusKpalrs11ptChar"/>
    <w:autoRedefine/>
    <w:rsid w:val="00691440"/>
  </w:style>
  <w:style w:type="character" w:customStyle="1" w:styleId="KpalrsChar">
    <w:name w:val="Képaláírás Char"/>
    <w:link w:val="Kpalrs"/>
    <w:rsid w:val="00815BE6"/>
    <w:rPr>
      <w:rFonts w:ascii="Garamond" w:hAnsi="Garamond" w:cs="Arial"/>
      <w:b/>
      <w:bCs/>
      <w:noProof/>
      <w:sz w:val="22"/>
    </w:rPr>
  </w:style>
  <w:style w:type="character" w:customStyle="1" w:styleId="StlusKpalrs11ptChar">
    <w:name w:val="Stílus Képaláírás + 11 pt Char"/>
    <w:link w:val="StlusKpalrs11pt"/>
    <w:rsid w:val="00691440"/>
    <w:rPr>
      <w:rFonts w:ascii="Arial" w:hAnsi="Arial" w:cs="Arial"/>
      <w:b/>
      <w:bCs/>
      <w:sz w:val="22"/>
      <w:lang w:val="hu-HU" w:eastAsia="hu-HU" w:bidi="ar-SA"/>
    </w:rPr>
  </w:style>
  <w:style w:type="paragraph" w:styleId="Buborkszveg">
    <w:name w:val="Balloon Text"/>
    <w:basedOn w:val="Norml"/>
    <w:link w:val="BuborkszvegChar"/>
    <w:uiPriority w:val="99"/>
    <w:semiHidden/>
    <w:rsid w:val="001D52EB"/>
    <w:rPr>
      <w:rFonts w:ascii="Tahoma" w:hAnsi="Tahoma" w:cs="Tahoma"/>
      <w:sz w:val="16"/>
      <w:szCs w:val="16"/>
    </w:rPr>
  </w:style>
  <w:style w:type="paragraph" w:styleId="TJ1">
    <w:name w:val="toc 1"/>
    <w:basedOn w:val="Norml"/>
    <w:next w:val="Norml"/>
    <w:autoRedefine/>
    <w:uiPriority w:val="39"/>
    <w:rsid w:val="00B46447"/>
    <w:pPr>
      <w:tabs>
        <w:tab w:val="left" w:pos="480"/>
        <w:tab w:val="right" w:leader="dot" w:pos="9062"/>
      </w:tabs>
    </w:pPr>
    <w:rPr>
      <w:b/>
      <w:noProof/>
      <w:sz w:val="28"/>
    </w:rPr>
  </w:style>
  <w:style w:type="paragraph" w:styleId="TJ2">
    <w:name w:val="toc 2"/>
    <w:basedOn w:val="Norml"/>
    <w:next w:val="Norml"/>
    <w:autoRedefine/>
    <w:uiPriority w:val="39"/>
    <w:rsid w:val="00A95CA0"/>
    <w:pPr>
      <w:ind w:left="220"/>
    </w:pPr>
  </w:style>
  <w:style w:type="paragraph" w:styleId="TJ3">
    <w:name w:val="toc 3"/>
    <w:basedOn w:val="Norml"/>
    <w:next w:val="Norml"/>
    <w:autoRedefine/>
    <w:uiPriority w:val="39"/>
    <w:rsid w:val="00A95CA0"/>
    <w:pPr>
      <w:ind w:left="440"/>
    </w:pPr>
  </w:style>
  <w:style w:type="paragraph" w:styleId="TJ4">
    <w:name w:val="toc 4"/>
    <w:basedOn w:val="Norml"/>
    <w:next w:val="Norml"/>
    <w:autoRedefine/>
    <w:uiPriority w:val="39"/>
    <w:rsid w:val="00A95CA0"/>
    <w:pPr>
      <w:ind w:left="660"/>
    </w:pPr>
  </w:style>
  <w:style w:type="character" w:styleId="Hiperhivatkozs">
    <w:name w:val="Hyperlink"/>
    <w:uiPriority w:val="99"/>
    <w:rsid w:val="00A95CA0"/>
    <w:rPr>
      <w:color w:val="0000FF"/>
      <w:u w:val="single"/>
    </w:rPr>
  </w:style>
  <w:style w:type="paragraph" w:customStyle="1" w:styleId="StlusKpalrsKzprezrt">
    <w:name w:val="Stílus Képaláírás + Középre zárt"/>
    <w:basedOn w:val="Kpalrs"/>
    <w:rsid w:val="00876C45"/>
    <w:rPr>
      <w:rFonts w:cs="Times New Roman"/>
    </w:rPr>
  </w:style>
  <w:style w:type="paragraph" w:customStyle="1" w:styleId="StlusCmsor4Sorkzszimpla">
    <w:name w:val="Stílus Címsor 4 + Sorköz:  szimpla"/>
    <w:basedOn w:val="Cmsor4"/>
    <w:autoRedefine/>
    <w:rsid w:val="00EE2B46"/>
    <w:pPr>
      <w:ind w:left="862" w:hanging="862"/>
    </w:pPr>
    <w:rPr>
      <w:b/>
      <w:bCs w:val="0"/>
      <w:iCs/>
      <w:szCs w:val="20"/>
    </w:rPr>
  </w:style>
  <w:style w:type="character" w:customStyle="1" w:styleId="llbChar">
    <w:name w:val="Élőláb Char"/>
    <w:link w:val="llb"/>
    <w:uiPriority w:val="99"/>
    <w:rsid w:val="00876C45"/>
    <w:rPr>
      <w:rFonts w:ascii="Arial" w:hAnsi="Arial" w:cs="Arial"/>
      <w:sz w:val="22"/>
      <w:szCs w:val="24"/>
    </w:rPr>
  </w:style>
  <w:style w:type="paragraph" w:customStyle="1" w:styleId="StlusKpalrsUtna3ptSorkzszimpla">
    <w:name w:val="Stílus Képaláírás + Utána:  3 pt Sorköz:  szimpla"/>
    <w:basedOn w:val="Kpalrs"/>
    <w:autoRedefine/>
    <w:rsid w:val="009331A6"/>
    <w:rPr>
      <w:rFonts w:cs="Times New Roman"/>
      <w:sz w:val="24"/>
    </w:rPr>
  </w:style>
  <w:style w:type="paragraph" w:styleId="Tartalomjegyzkcmsora">
    <w:name w:val="TOC Heading"/>
    <w:basedOn w:val="Cmsor1"/>
    <w:next w:val="Norml"/>
    <w:uiPriority w:val="39"/>
    <w:semiHidden/>
    <w:unhideWhenUsed/>
    <w:qFormat/>
    <w:rsid w:val="00B46447"/>
    <w:pPr>
      <w:keepLines/>
      <w:numPr>
        <w:numId w:val="0"/>
      </w:numPr>
      <w:spacing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TJ5">
    <w:name w:val="toc 5"/>
    <w:basedOn w:val="Norml"/>
    <w:next w:val="Norml"/>
    <w:autoRedefine/>
    <w:uiPriority w:val="39"/>
    <w:rsid w:val="00644BD2"/>
    <w:pPr>
      <w:spacing w:after="100"/>
      <w:ind w:left="960"/>
    </w:pPr>
  </w:style>
  <w:style w:type="character" w:styleId="Helyrzszveg">
    <w:name w:val="Placeholder Text"/>
    <w:basedOn w:val="Bekezdsalapbettpusa"/>
    <w:uiPriority w:val="99"/>
    <w:semiHidden/>
    <w:rsid w:val="00D42B8C"/>
    <w:rPr>
      <w:color w:val="808080"/>
    </w:rPr>
  </w:style>
  <w:style w:type="paragraph" w:styleId="Listaszerbekezds">
    <w:name w:val="List Paragraph"/>
    <w:aliases w:val="List Paragraph à moi,lista_2,Számozott lista 1,Eszeri felsorolás,List Paragraph1,Welt L Char,Welt L,Bullet List,FooterText,numbered,Paragraphe de liste1,Bulletr List Paragraph,列出段落,列出段落1,Listeafsnit1,リスト段落1,List Paragraph"/>
    <w:basedOn w:val="Norml"/>
    <w:link w:val="ListaszerbekezdsChar"/>
    <w:autoRedefine/>
    <w:uiPriority w:val="34"/>
    <w:qFormat/>
    <w:rsid w:val="00850AD1"/>
    <w:pPr>
      <w:numPr>
        <w:numId w:val="22"/>
      </w:numPr>
      <w:spacing w:before="60" w:after="60"/>
      <w:contextualSpacing/>
    </w:pPr>
  </w:style>
  <w:style w:type="paragraph" w:customStyle="1" w:styleId="Idzs">
    <w:name w:val="Idézés"/>
    <w:basedOn w:val="Norml"/>
    <w:autoRedefine/>
    <w:qFormat/>
    <w:rsid w:val="00AD78D0"/>
    <w:pPr>
      <w:ind w:left="567" w:right="565"/>
    </w:pPr>
    <w:rPr>
      <w:i/>
    </w:rPr>
  </w:style>
  <w:style w:type="paragraph" w:styleId="Szvegtrzsbehzssal">
    <w:name w:val="Body Text Indent"/>
    <w:basedOn w:val="Norml"/>
    <w:link w:val="SzvegtrzsbehzssalChar"/>
    <w:uiPriority w:val="99"/>
    <w:rsid w:val="00797E67"/>
    <w:pPr>
      <w:autoSpaceDN w:val="0"/>
      <w:spacing w:after="0"/>
      <w:jc w:val="center"/>
    </w:pPr>
    <w:rPr>
      <w:rFonts w:ascii="Arial" w:hAnsi="Arial" w:cs="Times New Roman"/>
      <w:sz w:val="20"/>
    </w:rPr>
  </w:style>
  <w:style w:type="character" w:customStyle="1" w:styleId="SzvegtrzsbehzssalChar">
    <w:name w:val="Szövegtörzs behúzással Char"/>
    <w:basedOn w:val="Bekezdsalapbettpusa"/>
    <w:link w:val="Szvegtrzsbehzssal"/>
    <w:uiPriority w:val="99"/>
    <w:rsid w:val="00797E67"/>
    <w:rPr>
      <w:rFonts w:ascii="Arial" w:hAnsi="Arial"/>
      <w:szCs w:val="24"/>
    </w:rPr>
  </w:style>
  <w:style w:type="table" w:customStyle="1" w:styleId="Fekvtblzat">
    <w:name w:val="Fekvő táblázat"/>
    <w:basedOn w:val="Normltblzat"/>
    <w:uiPriority w:val="99"/>
    <w:rsid w:val="00F2235A"/>
    <w:pPr>
      <w:spacing w:before="60" w:after="60"/>
      <w:jc w:val="center"/>
    </w:pPr>
    <w:rPr>
      <w:rFonts w:ascii="Garamond" w:hAnsi="Garamond"/>
      <w:sz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cPr>
      <w:vAlign w:val="center"/>
    </w:tcPr>
    <w:tblStylePr w:type="firstRow">
      <w:pPr>
        <w:wordWrap/>
        <w:spacing w:beforeLines="0" w:before="120" w:beforeAutospacing="0" w:afterLines="0" w:after="120" w:afterAutospacing="0" w:line="240" w:lineRule="auto"/>
        <w:jc w:val="center"/>
        <w:outlineLvl w:val="9"/>
      </w:pPr>
      <w:rPr>
        <w:rFonts w:ascii="Garamond" w:hAnsi="Garamond"/>
        <w:b/>
        <w:sz w:val="24"/>
      </w:rPr>
      <w:tblPr/>
      <w:trPr>
        <w:tblHeader/>
      </w:tr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pct10" w:color="auto" w:fill="auto"/>
      </w:tcPr>
    </w:tblStylePr>
  </w:style>
  <w:style w:type="table" w:customStyle="1" w:styleId="lltblzat">
    <w:name w:val="Álló táblázat"/>
    <w:basedOn w:val="Normltblzat"/>
    <w:uiPriority w:val="99"/>
    <w:rsid w:val="00A67C90"/>
    <w:pPr>
      <w:spacing w:before="60" w:after="60"/>
    </w:pPr>
    <w:rPr>
      <w:rFonts w:ascii="Garamond" w:hAnsi="Garamond"/>
      <w:sz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cPr>
      <w:vAlign w:val="center"/>
    </w:tcPr>
    <w:tblStylePr w:type="firstCol">
      <w:pPr>
        <w:wordWrap/>
        <w:spacing w:beforeLines="0" w:before="60" w:beforeAutospacing="0" w:afterLines="0" w:after="60" w:afterAutospacing="0" w:line="240" w:lineRule="auto"/>
        <w:ind w:leftChars="0" w:left="0" w:rightChars="0" w:right="0"/>
        <w:jc w:val="left"/>
        <w:outlineLvl w:val="9"/>
      </w:pPr>
      <w:rPr>
        <w:rFonts w:ascii="Garamond" w:hAnsi="Garamond"/>
        <w:b/>
        <w:sz w:val="24"/>
      </w:rPr>
      <w:tblPr/>
      <w:tcPr>
        <w:tcBorders>
          <w:top w:val="single" w:sz="12" w:space="0" w:color="auto"/>
          <w:left w:val="single" w:sz="12" w:space="0" w:color="auto"/>
          <w:bottom w:val="single" w:sz="12" w:space="0" w:color="auto"/>
          <w:right w:val="single" w:sz="12" w:space="0" w:color="auto"/>
          <w:insideH w:val="nil"/>
          <w:insideV w:val="nil"/>
          <w:tl2br w:val="nil"/>
          <w:tr2bl w:val="nil"/>
        </w:tcBorders>
        <w:shd w:val="pct10" w:color="auto" w:fill="auto"/>
      </w:tcPr>
    </w:tblStylePr>
  </w:style>
  <w:style w:type="numbering" w:customStyle="1" w:styleId="Mellkletekjegyzke">
    <w:name w:val="Mellékletek jegyzéke"/>
    <w:basedOn w:val="Nemlista"/>
    <w:uiPriority w:val="99"/>
    <w:rsid w:val="00203459"/>
    <w:pPr>
      <w:numPr>
        <w:numId w:val="2"/>
      </w:numPr>
    </w:pPr>
  </w:style>
  <w:style w:type="character" w:styleId="Mrltotthiperhivatkozs">
    <w:name w:val="FollowedHyperlink"/>
    <w:basedOn w:val="Bekezdsalapbettpusa"/>
    <w:uiPriority w:val="99"/>
    <w:rsid w:val="009B7C60"/>
    <w:rPr>
      <w:color w:val="800080" w:themeColor="followedHyperlink"/>
      <w:u w:val="single"/>
    </w:rPr>
  </w:style>
  <w:style w:type="paragraph" w:styleId="brajegyzk">
    <w:name w:val="table of figures"/>
    <w:basedOn w:val="Norml"/>
    <w:next w:val="Norml"/>
    <w:uiPriority w:val="99"/>
    <w:rsid w:val="00D143D9"/>
    <w:pPr>
      <w:spacing w:after="0"/>
    </w:pPr>
  </w:style>
  <w:style w:type="character" w:customStyle="1" w:styleId="ListaszerbekezdsChar">
    <w:name w:val="Listaszerű bekezdés Char"/>
    <w:aliases w:val="List Paragraph à moi Char,lista_2 Char,Számozott lista 1 Char,Eszeri felsorolás Char,List Paragraph1 Char,Welt L Char Char,Welt L Char1,Bullet List Char,FooterText Char,numbered Char,Paragraphe de liste1 Char,列出段落 Char"/>
    <w:link w:val="Listaszerbekezds"/>
    <w:uiPriority w:val="34"/>
    <w:rsid w:val="00850AD1"/>
    <w:rPr>
      <w:rFonts w:ascii="Garamond" w:hAnsi="Garamond" w:cs="Arial"/>
      <w:sz w:val="24"/>
      <w:szCs w:val="24"/>
    </w:rPr>
  </w:style>
  <w:style w:type="paragraph" w:customStyle="1" w:styleId="Listaszerbekezds1">
    <w:name w:val="Listaszerű bekezdés1"/>
    <w:basedOn w:val="Norml"/>
    <w:rsid w:val="00065163"/>
    <w:pPr>
      <w:suppressAutoHyphens/>
      <w:spacing w:after="60"/>
      <w:ind w:left="708"/>
      <w:jc w:val="left"/>
    </w:pPr>
    <w:rPr>
      <w:rFonts w:ascii="Times New Roman" w:hAnsi="Times New Roman" w:cs="Times New Roman"/>
    </w:rPr>
  </w:style>
  <w:style w:type="character" w:styleId="Feloldatlanmegemlts">
    <w:name w:val="Unresolved Mention"/>
    <w:basedOn w:val="Bekezdsalapbettpusa"/>
    <w:uiPriority w:val="99"/>
    <w:semiHidden/>
    <w:unhideWhenUsed/>
    <w:rsid w:val="00D92FCC"/>
    <w:rPr>
      <w:color w:val="605E5C"/>
      <w:shd w:val="clear" w:color="auto" w:fill="E1DFDD"/>
    </w:rPr>
  </w:style>
  <w:style w:type="table" w:customStyle="1" w:styleId="Rcsostblzat1">
    <w:name w:val="Rácsos táblázat1"/>
    <w:uiPriority w:val="59"/>
    <w:rsid w:val="006416BE"/>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zvegtrzs">
    <w:name w:val="Body Text"/>
    <w:aliases w:val="Szövegtörzs Char Char Char Char Char Char Char Char Char Char Char Char Char Char,Szövegtörzs Char Char1,Szövegtörzs Char Char Char Char Char Char Char Char Char Char Char Char Char Char Char1,Szövegtörzs Char Char Char Char"/>
    <w:basedOn w:val="Norml"/>
    <w:link w:val="SzvegtrzsChar"/>
    <w:unhideWhenUsed/>
    <w:rsid w:val="000D7D11"/>
  </w:style>
  <w:style w:type="character" w:customStyle="1" w:styleId="SzvegtrzsChar">
    <w:name w:val="Szövegtörzs Char"/>
    <w:aliases w:val="Szövegtörzs Char Char Char Char Char Char Char Char Char Char Char Char Char Char Char,Szövegtörzs Char Char1 Char,Szövegtörzs Char Char Char Char Char Char Char Char Char Char Char Char Char Char Char1 Char"/>
    <w:basedOn w:val="Bekezdsalapbettpusa"/>
    <w:link w:val="Szvegtrzs"/>
    <w:rsid w:val="000D7D11"/>
    <w:rPr>
      <w:rFonts w:ascii="Garamond" w:hAnsi="Garamond" w:cs="Arial"/>
      <w:sz w:val="24"/>
      <w:szCs w:val="24"/>
    </w:rPr>
  </w:style>
  <w:style w:type="character" w:customStyle="1" w:styleId="LbjegyzetszvegChar">
    <w:name w:val="Lábjegyzetszöveg Char"/>
    <w:aliases w:val="Footnote Char1,Footnote Text Char Char,Footnote Char Char,Char1 Char1 Char,Char1 Char Char1 Char,Char1 Char Char Char Char,Lábjegyzetszöveg Char Char Char Char,Lábjegyzetszöveg Char1 Char Char"/>
    <w:link w:val="Lbjegyzetszveg"/>
    <w:uiPriority w:val="99"/>
    <w:rsid w:val="0096579E"/>
    <w:rPr>
      <w:rFonts w:ascii="Garamond" w:hAnsi="Garamond"/>
    </w:rPr>
  </w:style>
  <w:style w:type="paragraph" w:styleId="NormlWeb">
    <w:name w:val="Normal (Web)"/>
    <w:basedOn w:val="Norml"/>
    <w:uiPriority w:val="99"/>
    <w:rsid w:val="001F1607"/>
    <w:pPr>
      <w:spacing w:before="100" w:beforeAutospacing="1" w:after="100" w:afterAutospacing="1"/>
      <w:jc w:val="left"/>
    </w:pPr>
    <w:rPr>
      <w:rFonts w:ascii="Times New Roman" w:hAnsi="Times New Roman" w:cs="Times New Roman"/>
    </w:rPr>
  </w:style>
  <w:style w:type="character" w:customStyle="1" w:styleId="Cmsor1Char">
    <w:name w:val="Címsor 1 Char"/>
    <w:aliases w:val="Numbered - 1 Char,intoduction Char"/>
    <w:basedOn w:val="Bekezdsalapbettpusa"/>
    <w:link w:val="Cmsor1"/>
    <w:uiPriority w:val="99"/>
    <w:rsid w:val="00620D3E"/>
    <w:rPr>
      <w:rFonts w:ascii="Garamond" w:hAnsi="Garamond" w:cs="Arial"/>
      <w:b/>
      <w:bCs/>
      <w:kern w:val="32"/>
      <w:sz w:val="40"/>
      <w:szCs w:val="32"/>
    </w:rPr>
  </w:style>
  <w:style w:type="character" w:customStyle="1" w:styleId="Cmsor2Char">
    <w:name w:val="Címsor 2 Char"/>
    <w:aliases w:val="Numbered - 2 Char,Fejléc 2 Char,Címsor Kísérőlevél II belül felsorolás Char"/>
    <w:basedOn w:val="Bekezdsalapbettpusa"/>
    <w:link w:val="Cmsor2"/>
    <w:uiPriority w:val="99"/>
    <w:rsid w:val="008962EB"/>
    <w:rPr>
      <w:rFonts w:ascii="Garamond" w:hAnsi="Garamond" w:cs="Arial"/>
      <w:b/>
      <w:bCs/>
      <w:iCs/>
      <w:sz w:val="32"/>
      <w:szCs w:val="28"/>
    </w:rPr>
  </w:style>
  <w:style w:type="character" w:customStyle="1" w:styleId="Cmsor3Char">
    <w:name w:val="Címsor 3 Char"/>
    <w:aliases w:val="Numbered - 3 Char"/>
    <w:basedOn w:val="Bekezdsalapbettpusa"/>
    <w:link w:val="Cmsor3"/>
    <w:uiPriority w:val="99"/>
    <w:rsid w:val="00E81567"/>
    <w:rPr>
      <w:rFonts w:ascii="Garamond" w:hAnsi="Garamond" w:cs="Arial"/>
      <w:b/>
      <w:bCs/>
      <w:sz w:val="24"/>
      <w:szCs w:val="26"/>
    </w:rPr>
  </w:style>
  <w:style w:type="character" w:customStyle="1" w:styleId="Cmsor4Char">
    <w:name w:val="Címsor 4 Char"/>
    <w:basedOn w:val="Bekezdsalapbettpusa"/>
    <w:link w:val="Cmsor4"/>
    <w:uiPriority w:val="99"/>
    <w:rsid w:val="008962EB"/>
    <w:rPr>
      <w:rFonts w:ascii="Garamond" w:hAnsi="Garamond"/>
      <w:bCs/>
      <w:i/>
      <w:sz w:val="24"/>
      <w:szCs w:val="28"/>
    </w:rPr>
  </w:style>
  <w:style w:type="character" w:customStyle="1" w:styleId="Cmsor5Char">
    <w:name w:val="Címsor 5 Char"/>
    <w:basedOn w:val="Bekezdsalapbettpusa"/>
    <w:link w:val="Cmsor5"/>
    <w:uiPriority w:val="99"/>
    <w:rsid w:val="008962EB"/>
    <w:rPr>
      <w:rFonts w:ascii="Garamond" w:hAnsi="Garamond" w:cs="Arial"/>
      <w:bCs/>
      <w:i/>
      <w:iCs/>
      <w:sz w:val="24"/>
      <w:szCs w:val="26"/>
    </w:rPr>
  </w:style>
  <w:style w:type="character" w:customStyle="1" w:styleId="Cmsor6Char">
    <w:name w:val="Címsor 6 Char"/>
    <w:basedOn w:val="Bekezdsalapbettpusa"/>
    <w:link w:val="Cmsor6"/>
    <w:uiPriority w:val="99"/>
    <w:rsid w:val="008962EB"/>
    <w:rPr>
      <w:b/>
      <w:bCs/>
      <w:sz w:val="24"/>
      <w:szCs w:val="22"/>
    </w:rPr>
  </w:style>
  <w:style w:type="character" w:customStyle="1" w:styleId="Cmsor7Char">
    <w:name w:val="Címsor 7 Char"/>
    <w:basedOn w:val="Bekezdsalapbettpusa"/>
    <w:link w:val="Cmsor7"/>
    <w:uiPriority w:val="9"/>
    <w:rsid w:val="008962EB"/>
    <w:rPr>
      <w:sz w:val="24"/>
      <w:szCs w:val="24"/>
    </w:rPr>
  </w:style>
  <w:style w:type="character" w:customStyle="1" w:styleId="Cmsor8Char">
    <w:name w:val="Címsor 8 Char"/>
    <w:basedOn w:val="Bekezdsalapbettpusa"/>
    <w:link w:val="Cmsor8"/>
    <w:uiPriority w:val="9"/>
    <w:rsid w:val="008962EB"/>
    <w:rPr>
      <w:i/>
      <w:iCs/>
      <w:sz w:val="24"/>
      <w:szCs w:val="24"/>
    </w:rPr>
  </w:style>
  <w:style w:type="character" w:customStyle="1" w:styleId="Cmsor9Char">
    <w:name w:val="Címsor 9 Char"/>
    <w:basedOn w:val="Bekezdsalapbettpusa"/>
    <w:link w:val="Cmsor9"/>
    <w:uiPriority w:val="9"/>
    <w:rsid w:val="008962EB"/>
    <w:rPr>
      <w:rFonts w:ascii="Garamond" w:hAnsi="Garamond" w:cs="Arial"/>
      <w:sz w:val="24"/>
      <w:szCs w:val="22"/>
    </w:rPr>
  </w:style>
  <w:style w:type="character" w:customStyle="1" w:styleId="lfejChar">
    <w:name w:val="Élőfej Char"/>
    <w:basedOn w:val="Bekezdsalapbettpusa"/>
    <w:link w:val="lfej"/>
    <w:uiPriority w:val="99"/>
    <w:rsid w:val="008962EB"/>
    <w:rPr>
      <w:rFonts w:ascii="Garamond" w:hAnsi="Garamond" w:cs="Arial"/>
      <w:sz w:val="24"/>
      <w:szCs w:val="24"/>
    </w:rPr>
  </w:style>
  <w:style w:type="character" w:customStyle="1" w:styleId="BuborkszvegChar">
    <w:name w:val="Buborékszöveg Char"/>
    <w:basedOn w:val="Bekezdsalapbettpusa"/>
    <w:link w:val="Buborkszveg"/>
    <w:uiPriority w:val="99"/>
    <w:semiHidden/>
    <w:rsid w:val="008962EB"/>
    <w:rPr>
      <w:rFonts w:ascii="Tahoma" w:hAnsi="Tahoma" w:cs="Tahoma"/>
      <w:sz w:val="16"/>
      <w:szCs w:val="16"/>
    </w:rPr>
  </w:style>
  <w:style w:type="paragraph" w:styleId="TJ6">
    <w:name w:val="toc 6"/>
    <w:basedOn w:val="Norml"/>
    <w:next w:val="Norml"/>
    <w:autoRedefine/>
    <w:uiPriority w:val="39"/>
    <w:unhideWhenUsed/>
    <w:rsid w:val="008962EB"/>
    <w:pPr>
      <w:spacing w:after="100" w:line="259" w:lineRule="auto"/>
      <w:ind w:left="1100"/>
      <w:jc w:val="left"/>
    </w:pPr>
    <w:rPr>
      <w:rFonts w:asciiTheme="minorHAnsi" w:eastAsiaTheme="minorEastAsia" w:hAnsiTheme="minorHAnsi" w:cstheme="minorBidi"/>
      <w:sz w:val="22"/>
      <w:szCs w:val="22"/>
    </w:rPr>
  </w:style>
  <w:style w:type="paragraph" w:styleId="TJ7">
    <w:name w:val="toc 7"/>
    <w:basedOn w:val="Norml"/>
    <w:next w:val="Norml"/>
    <w:autoRedefine/>
    <w:uiPriority w:val="39"/>
    <w:unhideWhenUsed/>
    <w:rsid w:val="008962EB"/>
    <w:pPr>
      <w:spacing w:after="100" w:line="259" w:lineRule="auto"/>
      <w:ind w:left="1320"/>
      <w:jc w:val="left"/>
    </w:pPr>
    <w:rPr>
      <w:rFonts w:asciiTheme="minorHAnsi" w:eastAsiaTheme="minorEastAsia" w:hAnsiTheme="minorHAnsi" w:cstheme="minorBidi"/>
      <w:sz w:val="22"/>
      <w:szCs w:val="22"/>
    </w:rPr>
  </w:style>
  <w:style w:type="paragraph" w:styleId="TJ8">
    <w:name w:val="toc 8"/>
    <w:basedOn w:val="Norml"/>
    <w:next w:val="Norml"/>
    <w:autoRedefine/>
    <w:uiPriority w:val="39"/>
    <w:unhideWhenUsed/>
    <w:rsid w:val="008962EB"/>
    <w:pPr>
      <w:spacing w:after="100" w:line="259" w:lineRule="auto"/>
      <w:ind w:left="1540"/>
      <w:jc w:val="left"/>
    </w:pPr>
    <w:rPr>
      <w:rFonts w:asciiTheme="minorHAnsi" w:eastAsiaTheme="minorEastAsia" w:hAnsiTheme="minorHAnsi" w:cstheme="minorBidi"/>
      <w:sz w:val="22"/>
      <w:szCs w:val="22"/>
    </w:rPr>
  </w:style>
  <w:style w:type="paragraph" w:styleId="TJ9">
    <w:name w:val="toc 9"/>
    <w:basedOn w:val="Norml"/>
    <w:next w:val="Norml"/>
    <w:autoRedefine/>
    <w:uiPriority w:val="39"/>
    <w:unhideWhenUsed/>
    <w:rsid w:val="008962EB"/>
    <w:pPr>
      <w:spacing w:after="100" w:line="259" w:lineRule="auto"/>
      <w:ind w:left="1760"/>
      <w:jc w:val="left"/>
    </w:pPr>
    <w:rPr>
      <w:rFonts w:asciiTheme="minorHAnsi" w:eastAsiaTheme="minorEastAsia" w:hAnsiTheme="minorHAnsi" w:cstheme="minorBidi"/>
      <w:sz w:val="22"/>
      <w:szCs w:val="22"/>
    </w:rPr>
  </w:style>
  <w:style w:type="character" w:styleId="Jegyzethivatkozs">
    <w:name w:val="annotation reference"/>
    <w:basedOn w:val="Bekezdsalapbettpusa"/>
    <w:uiPriority w:val="99"/>
    <w:semiHidden/>
    <w:unhideWhenUsed/>
    <w:rsid w:val="008962EB"/>
    <w:rPr>
      <w:sz w:val="16"/>
      <w:szCs w:val="16"/>
    </w:rPr>
  </w:style>
  <w:style w:type="paragraph" w:styleId="Jegyzetszveg">
    <w:name w:val="annotation text"/>
    <w:basedOn w:val="Norml"/>
    <w:link w:val="JegyzetszvegChar"/>
    <w:uiPriority w:val="99"/>
    <w:semiHidden/>
    <w:unhideWhenUsed/>
    <w:rsid w:val="008962EB"/>
    <w:rPr>
      <w:sz w:val="20"/>
      <w:szCs w:val="20"/>
    </w:rPr>
  </w:style>
  <w:style w:type="character" w:customStyle="1" w:styleId="JegyzetszvegChar">
    <w:name w:val="Jegyzetszöveg Char"/>
    <w:basedOn w:val="Bekezdsalapbettpusa"/>
    <w:link w:val="Jegyzetszveg"/>
    <w:uiPriority w:val="99"/>
    <w:semiHidden/>
    <w:rsid w:val="008962EB"/>
    <w:rPr>
      <w:rFonts w:ascii="Garamond" w:hAnsi="Garamond" w:cs="Arial"/>
    </w:rPr>
  </w:style>
  <w:style w:type="paragraph" w:styleId="Megjegyzstrgya">
    <w:name w:val="annotation subject"/>
    <w:basedOn w:val="Jegyzetszveg"/>
    <w:next w:val="Jegyzetszveg"/>
    <w:link w:val="MegjegyzstrgyaChar"/>
    <w:uiPriority w:val="99"/>
    <w:semiHidden/>
    <w:unhideWhenUsed/>
    <w:rsid w:val="008962EB"/>
    <w:rPr>
      <w:b/>
      <w:bCs/>
    </w:rPr>
  </w:style>
  <w:style w:type="character" w:customStyle="1" w:styleId="MegjegyzstrgyaChar">
    <w:name w:val="Megjegyzés tárgya Char"/>
    <w:basedOn w:val="JegyzetszvegChar"/>
    <w:link w:val="Megjegyzstrgya"/>
    <w:uiPriority w:val="99"/>
    <w:semiHidden/>
    <w:rsid w:val="008962EB"/>
    <w:rPr>
      <w:rFonts w:ascii="Garamond" w:hAnsi="Garamond" w:cs="Arial"/>
      <w:b/>
      <w:bCs/>
    </w:rPr>
  </w:style>
  <w:style w:type="paragraph" w:customStyle="1" w:styleId="Default">
    <w:name w:val="Default"/>
    <w:rsid w:val="008962EB"/>
    <w:pPr>
      <w:autoSpaceDE w:val="0"/>
      <w:autoSpaceDN w:val="0"/>
      <w:adjustRightInd w:val="0"/>
    </w:pPr>
    <w:rPr>
      <w:rFonts w:ascii="Calibri" w:eastAsiaTheme="minorHAnsi" w:hAnsi="Calibri" w:cs="Calibri"/>
      <w:color w:val="000000"/>
      <w:sz w:val="24"/>
      <w:szCs w:val="24"/>
      <w:lang w:val="en-GB" w:eastAsia="en-US"/>
    </w:rPr>
  </w:style>
  <w:style w:type="paragraph" w:customStyle="1" w:styleId="WW-Szvegtrzs212">
    <w:name w:val="WW-Szövegtörzs 212"/>
    <w:basedOn w:val="Norml"/>
    <w:rsid w:val="008962EB"/>
    <w:pPr>
      <w:suppressAutoHyphens/>
      <w:autoSpaceDE w:val="0"/>
      <w:spacing w:before="268" w:line="100" w:lineRule="atLeast"/>
    </w:pPr>
    <w:rPr>
      <w:rFonts w:ascii="Times New Roman" w:hAnsi="Times New Roman" w:cs="Times New Roman"/>
      <w:sz w:val="28"/>
      <w:szCs w:val="28"/>
      <w:u w:val="single"/>
    </w:rPr>
  </w:style>
  <w:style w:type="paragraph" w:customStyle="1" w:styleId="cbek">
    <w:name w:val="cbek"/>
    <w:basedOn w:val="Norml"/>
    <w:uiPriority w:val="99"/>
    <w:rsid w:val="008962EB"/>
    <w:pPr>
      <w:tabs>
        <w:tab w:val="left" w:pos="567"/>
        <w:tab w:val="left" w:pos="1134"/>
        <w:tab w:val="left" w:pos="1701"/>
      </w:tabs>
      <w:ind w:left="1701" w:hanging="567"/>
    </w:pPr>
    <w:rPr>
      <w:rFonts w:ascii="Times New Roman" w:hAnsi="Times New Roman" w:cs="Times New Roman"/>
      <w:color w:val="00B050"/>
      <w:szCs w:val="20"/>
    </w:rPr>
  </w:style>
  <w:style w:type="paragraph" w:styleId="Nincstrkz">
    <w:name w:val="No Spacing"/>
    <w:link w:val="NincstrkzChar"/>
    <w:qFormat/>
    <w:rsid w:val="008962EB"/>
    <w:rPr>
      <w:rFonts w:asciiTheme="minorHAnsi" w:eastAsiaTheme="minorEastAsia" w:hAnsiTheme="minorHAnsi" w:cstheme="minorBidi"/>
      <w:sz w:val="22"/>
      <w:szCs w:val="22"/>
      <w:lang w:eastAsia="en-US"/>
    </w:rPr>
  </w:style>
  <w:style w:type="character" w:customStyle="1" w:styleId="NincstrkzChar">
    <w:name w:val="Nincs térköz Char"/>
    <w:basedOn w:val="Bekezdsalapbettpusa"/>
    <w:link w:val="Nincstrkz"/>
    <w:rsid w:val="008962EB"/>
    <w:rPr>
      <w:rFonts w:asciiTheme="minorHAnsi" w:eastAsiaTheme="minorEastAsia" w:hAnsiTheme="minorHAnsi" w:cstheme="minorBidi"/>
      <w:sz w:val="22"/>
      <w:szCs w:val="22"/>
      <w:lang w:eastAsia="en-US"/>
    </w:rPr>
  </w:style>
  <w:style w:type="table" w:customStyle="1" w:styleId="Papp001">
    <w:name w:val="Papp 001"/>
    <w:basedOn w:val="Rcsostblzat"/>
    <w:rsid w:val="008962EB"/>
    <w:tblPr/>
  </w:style>
  <w:style w:type="paragraph" w:customStyle="1" w:styleId="M1">
    <w:name w:val="M1"/>
    <w:basedOn w:val="Norml"/>
    <w:uiPriority w:val="99"/>
    <w:rsid w:val="008962EB"/>
    <w:pPr>
      <w:spacing w:after="0"/>
    </w:pPr>
    <w:rPr>
      <w:rFonts w:ascii="Times New Roman" w:hAnsi="Times New Roman" w:cs="Times New Roman"/>
      <w:smallCaps/>
      <w:sz w:val="28"/>
      <w:szCs w:val="28"/>
    </w:rPr>
  </w:style>
  <w:style w:type="paragraph" w:customStyle="1" w:styleId="P1">
    <w:name w:val="P1"/>
    <w:basedOn w:val="Norml"/>
    <w:uiPriority w:val="99"/>
    <w:rsid w:val="008962EB"/>
    <w:pPr>
      <w:numPr>
        <w:numId w:val="3"/>
      </w:numPr>
      <w:tabs>
        <w:tab w:val="clear" w:pos="360"/>
      </w:tabs>
      <w:spacing w:after="0"/>
      <w:ind w:left="0" w:firstLine="0"/>
    </w:pPr>
    <w:rPr>
      <w:rFonts w:ascii="Times New Roman" w:hAnsi="Times New Roman" w:cs="Times New Roman"/>
      <w:i/>
      <w:sz w:val="28"/>
      <w:szCs w:val="28"/>
    </w:rPr>
  </w:style>
  <w:style w:type="paragraph" w:customStyle="1" w:styleId="P2">
    <w:name w:val="P2"/>
    <w:basedOn w:val="Norml"/>
    <w:uiPriority w:val="99"/>
    <w:rsid w:val="008962EB"/>
    <w:pPr>
      <w:numPr>
        <w:ilvl w:val="1"/>
        <w:numId w:val="3"/>
      </w:numPr>
      <w:tabs>
        <w:tab w:val="clear" w:pos="792"/>
      </w:tabs>
      <w:spacing w:after="0"/>
      <w:ind w:left="0" w:firstLine="0"/>
    </w:pPr>
    <w:rPr>
      <w:rFonts w:ascii="Times New Roman" w:hAnsi="Times New Roman" w:cs="Times New Roman"/>
      <w:i/>
    </w:rPr>
  </w:style>
  <w:style w:type="paragraph" w:customStyle="1" w:styleId="P3">
    <w:name w:val="P3"/>
    <w:basedOn w:val="P2"/>
    <w:uiPriority w:val="99"/>
    <w:rsid w:val="008962EB"/>
    <w:pPr>
      <w:numPr>
        <w:ilvl w:val="2"/>
      </w:numPr>
      <w:tabs>
        <w:tab w:val="clear" w:pos="1440"/>
      </w:tabs>
      <w:ind w:left="0" w:firstLine="0"/>
    </w:pPr>
  </w:style>
  <w:style w:type="paragraph" w:customStyle="1" w:styleId="P4">
    <w:name w:val="P4"/>
    <w:basedOn w:val="P3"/>
    <w:uiPriority w:val="99"/>
    <w:rsid w:val="008962EB"/>
    <w:pPr>
      <w:numPr>
        <w:ilvl w:val="3"/>
      </w:numPr>
      <w:tabs>
        <w:tab w:val="clear" w:pos="1800"/>
      </w:tabs>
      <w:ind w:left="0" w:firstLine="0"/>
    </w:pPr>
    <w:rPr>
      <w:iCs/>
    </w:rPr>
  </w:style>
  <w:style w:type="character" w:styleId="Kiemels2">
    <w:name w:val="Strong"/>
    <w:basedOn w:val="Bekezdsalapbettpusa"/>
    <w:uiPriority w:val="22"/>
    <w:qFormat/>
    <w:rsid w:val="008962EB"/>
    <w:rPr>
      <w:b/>
      <w:bCs/>
    </w:rPr>
  </w:style>
  <w:style w:type="paragraph" w:styleId="Szvegtrzs3">
    <w:name w:val="Body Text 3"/>
    <w:basedOn w:val="Norml"/>
    <w:link w:val="Szvegtrzs3Char"/>
    <w:uiPriority w:val="99"/>
    <w:unhideWhenUsed/>
    <w:rsid w:val="008962EB"/>
    <w:pPr>
      <w:jc w:val="left"/>
    </w:pPr>
    <w:rPr>
      <w:rFonts w:ascii="Times New Roman" w:hAnsi="Times New Roman" w:cs="Times New Roman"/>
      <w:sz w:val="16"/>
      <w:szCs w:val="16"/>
    </w:rPr>
  </w:style>
  <w:style w:type="character" w:customStyle="1" w:styleId="Szvegtrzs3Char">
    <w:name w:val="Szövegtörzs 3 Char"/>
    <w:basedOn w:val="Bekezdsalapbettpusa"/>
    <w:link w:val="Szvegtrzs3"/>
    <w:uiPriority w:val="99"/>
    <w:rsid w:val="008962EB"/>
    <w:rPr>
      <w:sz w:val="16"/>
      <w:szCs w:val="16"/>
    </w:rPr>
  </w:style>
  <w:style w:type="paragraph" w:customStyle="1" w:styleId="Tblzattartalom">
    <w:name w:val="Táblázat tartalom"/>
    <w:basedOn w:val="Szvegtrzs"/>
    <w:rsid w:val="008962EB"/>
    <w:pPr>
      <w:suppressLineNumbers/>
      <w:suppressAutoHyphens/>
      <w:spacing w:after="0"/>
    </w:pPr>
    <w:rPr>
      <w:rFonts w:ascii="Times New Roman" w:hAnsi="Times New Roman" w:cs="Times New Roman" w:hint="eastAsia"/>
      <w:szCs w:val="20"/>
    </w:rPr>
  </w:style>
  <w:style w:type="paragraph" w:styleId="Cm">
    <w:name w:val="Title"/>
    <w:basedOn w:val="Norml"/>
    <w:link w:val="CmChar"/>
    <w:uiPriority w:val="99"/>
    <w:qFormat/>
    <w:rsid w:val="008962EB"/>
    <w:pPr>
      <w:spacing w:after="0"/>
      <w:jc w:val="center"/>
    </w:pPr>
    <w:rPr>
      <w:rFonts w:ascii="Arial" w:hAnsi="Arial" w:cs="Times New Roman"/>
      <w:b/>
      <w:szCs w:val="20"/>
    </w:rPr>
  </w:style>
  <w:style w:type="character" w:customStyle="1" w:styleId="CmChar">
    <w:name w:val="Cím Char"/>
    <w:basedOn w:val="Bekezdsalapbettpusa"/>
    <w:link w:val="Cm"/>
    <w:uiPriority w:val="99"/>
    <w:rsid w:val="008962EB"/>
    <w:rPr>
      <w:rFonts w:ascii="Arial" w:hAnsi="Arial"/>
      <w:b/>
      <w:sz w:val="24"/>
    </w:rPr>
  </w:style>
  <w:style w:type="paragraph" w:customStyle="1" w:styleId="Stlus">
    <w:name w:val="Stílus"/>
    <w:uiPriority w:val="99"/>
    <w:rsid w:val="008962EB"/>
    <w:pPr>
      <w:widowControl w:val="0"/>
      <w:autoSpaceDE w:val="0"/>
      <w:autoSpaceDN w:val="0"/>
      <w:adjustRightInd w:val="0"/>
    </w:pPr>
    <w:rPr>
      <w:sz w:val="24"/>
      <w:szCs w:val="24"/>
    </w:rPr>
  </w:style>
  <w:style w:type="character" w:customStyle="1" w:styleId="DokumentumtrkpChar">
    <w:name w:val="Dokumentumtérkép Char"/>
    <w:basedOn w:val="Bekezdsalapbettpusa"/>
    <w:link w:val="Dokumentumtrkp"/>
    <w:uiPriority w:val="99"/>
    <w:semiHidden/>
    <w:rsid w:val="008962EB"/>
    <w:rPr>
      <w:rFonts w:ascii="Tahoma" w:hAnsi="Tahoma" w:cs="Tahoma"/>
      <w:sz w:val="24"/>
      <w:szCs w:val="24"/>
      <w:shd w:val="clear" w:color="auto" w:fill="000080"/>
    </w:rPr>
  </w:style>
  <w:style w:type="paragraph" w:styleId="Dokumentumtrkp">
    <w:name w:val="Document Map"/>
    <w:basedOn w:val="Norml"/>
    <w:link w:val="DokumentumtrkpChar"/>
    <w:uiPriority w:val="99"/>
    <w:semiHidden/>
    <w:rsid w:val="008962EB"/>
    <w:pPr>
      <w:shd w:val="clear" w:color="auto" w:fill="000080"/>
      <w:spacing w:after="0"/>
      <w:jc w:val="left"/>
    </w:pPr>
    <w:rPr>
      <w:rFonts w:ascii="Tahoma" w:hAnsi="Tahoma" w:cs="Tahoma"/>
    </w:rPr>
  </w:style>
  <w:style w:type="character" w:customStyle="1" w:styleId="DokumentumtrkpChar1">
    <w:name w:val="Dokumentumtérkép Char1"/>
    <w:basedOn w:val="Bekezdsalapbettpusa"/>
    <w:uiPriority w:val="99"/>
    <w:semiHidden/>
    <w:rsid w:val="008962EB"/>
    <w:rPr>
      <w:rFonts w:ascii="Segoe UI" w:hAnsi="Segoe UI" w:cs="Segoe UI"/>
      <w:sz w:val="16"/>
      <w:szCs w:val="16"/>
    </w:rPr>
  </w:style>
  <w:style w:type="character" w:customStyle="1" w:styleId="WW-Bekezdsalap-bettpusa1">
    <w:name w:val="WW-Bekezdés alap-betűtípusa1"/>
    <w:rsid w:val="008962EB"/>
  </w:style>
  <w:style w:type="character" w:customStyle="1" w:styleId="WW-Absatz-Standardschriftart">
    <w:name w:val="WW-Absatz-Standardschriftart"/>
    <w:rsid w:val="008962EB"/>
  </w:style>
  <w:style w:type="character" w:customStyle="1" w:styleId="WW-Absatz-Standardschriftart1">
    <w:name w:val="WW-Absatz-Standardschriftart1"/>
    <w:rsid w:val="008962EB"/>
  </w:style>
  <w:style w:type="character" w:customStyle="1" w:styleId="WW-Absatz-Standardschriftart11">
    <w:name w:val="WW-Absatz-Standardschriftart11"/>
    <w:rsid w:val="008962EB"/>
  </w:style>
  <w:style w:type="character" w:customStyle="1" w:styleId="WW-Absatz-Standardschriftart111">
    <w:name w:val="WW-Absatz-Standardschriftart111"/>
    <w:rsid w:val="008962EB"/>
  </w:style>
  <w:style w:type="character" w:customStyle="1" w:styleId="WW-Absatz-Standardschriftart1111">
    <w:name w:val="WW-Absatz-Standardschriftart1111"/>
    <w:rsid w:val="008962EB"/>
  </w:style>
  <w:style w:type="character" w:customStyle="1" w:styleId="WW-Absatz-Standardschriftart11111">
    <w:name w:val="WW-Absatz-Standardschriftart11111"/>
    <w:rsid w:val="008962EB"/>
  </w:style>
  <w:style w:type="character" w:customStyle="1" w:styleId="WW-Bekezdsalap-bettpusa">
    <w:name w:val="WW-Bekezdés alap-betűtípusa"/>
    <w:rsid w:val="008962EB"/>
  </w:style>
  <w:style w:type="character" w:customStyle="1" w:styleId="WW-Absatz-Standardschriftart111111">
    <w:name w:val="WW-Absatz-Standardschriftart111111"/>
    <w:rsid w:val="008962EB"/>
  </w:style>
  <w:style w:type="character" w:customStyle="1" w:styleId="WW-Absatz-Standardschriftart1111111">
    <w:name w:val="WW-Absatz-Standardschriftart1111111"/>
    <w:rsid w:val="008962EB"/>
  </w:style>
  <w:style w:type="character" w:customStyle="1" w:styleId="WW-Absatz-Standardschriftart11111111">
    <w:name w:val="WW-Absatz-Standardschriftart11111111"/>
    <w:rsid w:val="008962EB"/>
  </w:style>
  <w:style w:type="character" w:customStyle="1" w:styleId="WW-Absatz-Standardschriftart111111111">
    <w:name w:val="WW-Absatz-Standardschriftart111111111"/>
    <w:rsid w:val="008962EB"/>
  </w:style>
  <w:style w:type="character" w:customStyle="1" w:styleId="WW-Absatz-Standardschriftart1111111111">
    <w:name w:val="WW-Absatz-Standardschriftart1111111111"/>
    <w:rsid w:val="008962EB"/>
  </w:style>
  <w:style w:type="character" w:customStyle="1" w:styleId="WW-Absatz-Standardschriftart11111111111">
    <w:name w:val="WW-Absatz-Standardschriftart11111111111"/>
    <w:rsid w:val="008962EB"/>
  </w:style>
  <w:style w:type="character" w:customStyle="1" w:styleId="WW-Absatz-Standardschriftart111111111111">
    <w:name w:val="WW-Absatz-Standardschriftart111111111111"/>
    <w:rsid w:val="008962EB"/>
  </w:style>
  <w:style w:type="character" w:customStyle="1" w:styleId="WW-Absatz-Standardschriftart1111111111111">
    <w:name w:val="WW-Absatz-Standardschriftart1111111111111"/>
    <w:rsid w:val="008962EB"/>
  </w:style>
  <w:style w:type="character" w:customStyle="1" w:styleId="WW-Absatz-Standardschriftart11111111111111">
    <w:name w:val="WW-Absatz-Standardschriftart11111111111111"/>
    <w:rsid w:val="008962EB"/>
  </w:style>
  <w:style w:type="character" w:customStyle="1" w:styleId="WW-Bekezdsalap-bettpusa11">
    <w:name w:val="WW-Bekezdés alap-betűtípusa11"/>
    <w:rsid w:val="008962EB"/>
  </w:style>
  <w:style w:type="character" w:customStyle="1" w:styleId="WW8Num3z0">
    <w:name w:val="WW8Num3z0"/>
    <w:rsid w:val="008962EB"/>
    <w:rPr>
      <w:rFonts w:ascii="Symbol" w:hAnsi="Symbol"/>
    </w:rPr>
  </w:style>
  <w:style w:type="character" w:customStyle="1" w:styleId="WW8Num3z1">
    <w:name w:val="WW8Num3z1"/>
    <w:rsid w:val="008962EB"/>
    <w:rPr>
      <w:rFonts w:ascii="Courier New" w:hAnsi="Courier New"/>
    </w:rPr>
  </w:style>
  <w:style w:type="character" w:customStyle="1" w:styleId="WW8Num3z2">
    <w:name w:val="WW8Num3z2"/>
    <w:rsid w:val="008962EB"/>
    <w:rPr>
      <w:rFonts w:ascii="Wingdings" w:hAnsi="Wingdings"/>
    </w:rPr>
  </w:style>
  <w:style w:type="character" w:customStyle="1" w:styleId="WW8Num6z0">
    <w:name w:val="WW8Num6z0"/>
    <w:rsid w:val="008962EB"/>
    <w:rPr>
      <w:rFonts w:ascii="Symbol" w:hAnsi="Symbol"/>
    </w:rPr>
  </w:style>
  <w:style w:type="character" w:customStyle="1" w:styleId="WW8Num6z1">
    <w:name w:val="WW8Num6z1"/>
    <w:rsid w:val="008962EB"/>
    <w:rPr>
      <w:rFonts w:ascii="Courier New" w:hAnsi="Courier New"/>
    </w:rPr>
  </w:style>
  <w:style w:type="character" w:customStyle="1" w:styleId="WW8Num6z2">
    <w:name w:val="WW8Num6z2"/>
    <w:rsid w:val="008962EB"/>
    <w:rPr>
      <w:rFonts w:ascii="Wingdings" w:hAnsi="Wingdings"/>
    </w:rPr>
  </w:style>
  <w:style w:type="character" w:customStyle="1" w:styleId="WW8Num15z0">
    <w:name w:val="WW8Num15z0"/>
    <w:rsid w:val="008962EB"/>
    <w:rPr>
      <w:rFonts w:ascii="Wingdings" w:hAnsi="Wingdings"/>
    </w:rPr>
  </w:style>
  <w:style w:type="character" w:customStyle="1" w:styleId="WW8Num19z0">
    <w:name w:val="WW8Num19z0"/>
    <w:rsid w:val="008962EB"/>
    <w:rPr>
      <w:rFonts w:ascii="Times New Roman" w:eastAsia="Times New Roman" w:hAnsi="Times New Roman"/>
    </w:rPr>
  </w:style>
  <w:style w:type="character" w:customStyle="1" w:styleId="WW8Num19z1">
    <w:name w:val="WW8Num19z1"/>
    <w:rsid w:val="008962EB"/>
    <w:rPr>
      <w:rFonts w:ascii="Courier New" w:hAnsi="Courier New"/>
    </w:rPr>
  </w:style>
  <w:style w:type="character" w:customStyle="1" w:styleId="WW8Num19z2">
    <w:name w:val="WW8Num19z2"/>
    <w:rsid w:val="008962EB"/>
    <w:rPr>
      <w:rFonts w:ascii="Wingdings" w:hAnsi="Wingdings"/>
    </w:rPr>
  </w:style>
  <w:style w:type="character" w:customStyle="1" w:styleId="WW8Num19z3">
    <w:name w:val="WW8Num19z3"/>
    <w:rsid w:val="008962EB"/>
    <w:rPr>
      <w:rFonts w:ascii="Symbol" w:hAnsi="Symbol"/>
    </w:rPr>
  </w:style>
  <w:style w:type="character" w:customStyle="1" w:styleId="WW8Num21z0">
    <w:name w:val="WW8Num21z0"/>
    <w:rsid w:val="008962EB"/>
    <w:rPr>
      <w:rFonts w:ascii="Symbol" w:hAnsi="Symbol"/>
    </w:rPr>
  </w:style>
  <w:style w:type="character" w:customStyle="1" w:styleId="WW8Num21z1">
    <w:name w:val="WW8Num21z1"/>
    <w:rsid w:val="008962EB"/>
    <w:rPr>
      <w:rFonts w:ascii="Times New Roman" w:eastAsia="Times New Roman" w:hAnsi="Times New Roman"/>
    </w:rPr>
  </w:style>
  <w:style w:type="character" w:customStyle="1" w:styleId="WW8Num21z2">
    <w:name w:val="WW8Num21z2"/>
    <w:rsid w:val="008962EB"/>
    <w:rPr>
      <w:rFonts w:ascii="Wingdings" w:hAnsi="Wingdings"/>
    </w:rPr>
  </w:style>
  <w:style w:type="character" w:customStyle="1" w:styleId="WW8Num21z4">
    <w:name w:val="WW8Num21z4"/>
    <w:rsid w:val="008962EB"/>
    <w:rPr>
      <w:rFonts w:ascii="Courier New" w:hAnsi="Courier New"/>
    </w:rPr>
  </w:style>
  <w:style w:type="character" w:customStyle="1" w:styleId="Felsorolsjelek">
    <w:name w:val="Felsorolásjelek"/>
    <w:rsid w:val="008962EB"/>
    <w:rPr>
      <w:rFonts w:ascii="StarSymbol" w:eastAsia="StarSymbol" w:hAnsi="StarSymbol"/>
      <w:sz w:val="18"/>
    </w:rPr>
  </w:style>
  <w:style w:type="character" w:customStyle="1" w:styleId="WW-Felsorolsjelek">
    <w:name w:val="WW-Felsorolásjelek"/>
    <w:rsid w:val="008962EB"/>
    <w:rPr>
      <w:rFonts w:ascii="StarSymbol" w:eastAsia="StarSymbol" w:hAnsi="StarSymbol"/>
      <w:sz w:val="18"/>
    </w:rPr>
  </w:style>
  <w:style w:type="character" w:customStyle="1" w:styleId="WW-Felsorolsjelek1">
    <w:name w:val="WW-Felsorolásjelek1"/>
    <w:rsid w:val="008962EB"/>
    <w:rPr>
      <w:rFonts w:ascii="StarSymbol" w:eastAsia="StarSymbol" w:hAnsi="StarSymbol"/>
      <w:sz w:val="18"/>
    </w:rPr>
  </w:style>
  <w:style w:type="character" w:customStyle="1" w:styleId="WW-Felsorolsjelek11">
    <w:name w:val="WW-Felsorolásjelek11"/>
    <w:rsid w:val="008962EB"/>
    <w:rPr>
      <w:rFonts w:ascii="StarSymbol" w:eastAsia="StarSymbol" w:hAnsi="StarSymbol"/>
      <w:sz w:val="18"/>
    </w:rPr>
  </w:style>
  <w:style w:type="character" w:customStyle="1" w:styleId="WW-Felsorolsjelek111">
    <w:name w:val="WW-Felsorolásjelek111"/>
    <w:rsid w:val="008962EB"/>
    <w:rPr>
      <w:rFonts w:ascii="StarSymbol" w:eastAsia="StarSymbol" w:hAnsi="StarSymbol"/>
      <w:sz w:val="18"/>
    </w:rPr>
  </w:style>
  <w:style w:type="character" w:customStyle="1" w:styleId="WW-Felsorolsjelek1111">
    <w:name w:val="WW-Felsorolásjelek1111"/>
    <w:rsid w:val="008962EB"/>
    <w:rPr>
      <w:rFonts w:ascii="StarSymbol" w:eastAsia="StarSymbol" w:hAnsi="StarSymbol"/>
      <w:sz w:val="18"/>
    </w:rPr>
  </w:style>
  <w:style w:type="character" w:customStyle="1" w:styleId="WW-Felsorolsjelek11111">
    <w:name w:val="WW-Felsorolásjelek11111"/>
    <w:rsid w:val="008962EB"/>
    <w:rPr>
      <w:rFonts w:ascii="StarSymbol" w:eastAsia="StarSymbol" w:hAnsi="StarSymbol"/>
      <w:sz w:val="18"/>
    </w:rPr>
  </w:style>
  <w:style w:type="character" w:customStyle="1" w:styleId="WW-Felsorolsjelek111111">
    <w:name w:val="WW-Felsorolásjelek111111"/>
    <w:rsid w:val="008962EB"/>
    <w:rPr>
      <w:rFonts w:ascii="StarSymbol" w:eastAsia="StarSymbol" w:hAnsi="StarSymbol"/>
      <w:sz w:val="18"/>
    </w:rPr>
  </w:style>
  <w:style w:type="character" w:customStyle="1" w:styleId="WW-Felsorolsjelek1111111">
    <w:name w:val="WW-Felsorolásjelek1111111"/>
    <w:rsid w:val="008962EB"/>
    <w:rPr>
      <w:rFonts w:ascii="StarSymbol" w:eastAsia="StarSymbol" w:hAnsi="StarSymbol"/>
      <w:sz w:val="18"/>
    </w:rPr>
  </w:style>
  <w:style w:type="character" w:customStyle="1" w:styleId="WW-Felsorolsjelek11111111">
    <w:name w:val="WW-Felsorolásjelek11111111"/>
    <w:rsid w:val="008962EB"/>
    <w:rPr>
      <w:rFonts w:ascii="StarSymbol" w:eastAsia="StarSymbol" w:hAnsi="StarSymbol"/>
      <w:sz w:val="18"/>
    </w:rPr>
  </w:style>
  <w:style w:type="character" w:customStyle="1" w:styleId="WW-Felsorolsjelek111111111">
    <w:name w:val="WW-Felsorolásjelek111111111"/>
    <w:rsid w:val="008962EB"/>
    <w:rPr>
      <w:rFonts w:ascii="StarSymbol" w:eastAsia="StarSymbol" w:hAnsi="StarSymbol"/>
      <w:sz w:val="18"/>
    </w:rPr>
  </w:style>
  <w:style w:type="character" w:customStyle="1" w:styleId="WW-Felsorolsjelek1111111111">
    <w:name w:val="WW-Felsorolásjelek1111111111"/>
    <w:rsid w:val="008962EB"/>
    <w:rPr>
      <w:rFonts w:ascii="StarSymbol" w:eastAsia="StarSymbol" w:hAnsi="StarSymbol"/>
      <w:sz w:val="18"/>
    </w:rPr>
  </w:style>
  <w:style w:type="character" w:customStyle="1" w:styleId="WW-Felsorolsjelek11111111111">
    <w:name w:val="WW-Felsorolásjelek11111111111"/>
    <w:rsid w:val="008962EB"/>
    <w:rPr>
      <w:rFonts w:ascii="StarSymbol" w:eastAsia="StarSymbol" w:hAnsi="StarSymbol"/>
      <w:sz w:val="18"/>
    </w:rPr>
  </w:style>
  <w:style w:type="character" w:customStyle="1" w:styleId="WW-Felsorolsjelek111111111111">
    <w:name w:val="WW-Felsorolásjelek111111111111"/>
    <w:rsid w:val="008962EB"/>
    <w:rPr>
      <w:rFonts w:ascii="StarSymbol" w:eastAsia="StarSymbol" w:hAnsi="StarSymbol"/>
      <w:sz w:val="18"/>
    </w:rPr>
  </w:style>
  <w:style w:type="character" w:customStyle="1" w:styleId="WW-Felsorolsjelek1111111111111">
    <w:name w:val="WW-Felsorolásjelek1111111111111"/>
    <w:rsid w:val="008962EB"/>
    <w:rPr>
      <w:rFonts w:ascii="StarSymbol" w:eastAsia="StarSymbol" w:hAnsi="StarSymbol"/>
      <w:sz w:val="18"/>
    </w:rPr>
  </w:style>
  <w:style w:type="character" w:customStyle="1" w:styleId="WW-Felsorolsjelek11111111111111">
    <w:name w:val="WW-Felsorolásjelek11111111111111"/>
    <w:rsid w:val="008962EB"/>
    <w:rPr>
      <w:rFonts w:ascii="StarSymbol" w:eastAsia="StarSymbol" w:hAnsi="StarSymbol"/>
      <w:sz w:val="18"/>
    </w:rPr>
  </w:style>
  <w:style w:type="character" w:customStyle="1" w:styleId="WW-Felsorolsjelek111111111111111">
    <w:name w:val="WW-Felsorolásjelek111111111111111"/>
    <w:rsid w:val="008962EB"/>
    <w:rPr>
      <w:rFonts w:ascii="StarSymbol" w:eastAsia="StarSymbol" w:hAnsi="StarSymbol"/>
      <w:sz w:val="18"/>
    </w:rPr>
  </w:style>
  <w:style w:type="character" w:customStyle="1" w:styleId="WW-Felsorolsjelek1111111111111111">
    <w:name w:val="WW-Felsorolásjelek1111111111111111"/>
    <w:rsid w:val="008962EB"/>
    <w:rPr>
      <w:rFonts w:ascii="StarSymbol" w:eastAsia="StarSymbol" w:hAnsi="StarSymbol"/>
      <w:sz w:val="18"/>
    </w:rPr>
  </w:style>
  <w:style w:type="character" w:customStyle="1" w:styleId="Szmozsiszimblumok">
    <w:name w:val="Számozási szimbólumok"/>
    <w:rsid w:val="008962EB"/>
  </w:style>
  <w:style w:type="character" w:customStyle="1" w:styleId="WW-Szmozsiszimblumok">
    <w:name w:val="WW-Számozási szimbólumok"/>
    <w:rsid w:val="008962EB"/>
  </w:style>
  <w:style w:type="character" w:customStyle="1" w:styleId="WW-Szmozsiszimblumok1">
    <w:name w:val="WW-Számozási szimbólumok1"/>
    <w:rsid w:val="008962EB"/>
  </w:style>
  <w:style w:type="character" w:customStyle="1" w:styleId="WW-Szmozsiszimblumok11">
    <w:name w:val="WW-Számozási szimbólumok11"/>
    <w:rsid w:val="008962EB"/>
  </w:style>
  <w:style w:type="character" w:customStyle="1" w:styleId="WW-Szmozsiszimblumok111">
    <w:name w:val="WW-Számozási szimbólumok111"/>
    <w:rsid w:val="008962EB"/>
  </w:style>
  <w:style w:type="character" w:customStyle="1" w:styleId="WW-Szmozsiszimblumok1111">
    <w:name w:val="WW-Számozási szimbólumok1111"/>
    <w:rsid w:val="008962EB"/>
  </w:style>
  <w:style w:type="character" w:customStyle="1" w:styleId="WW-Szmozsiszimblumok11111">
    <w:name w:val="WW-Számozási szimbólumok11111"/>
    <w:rsid w:val="008962EB"/>
  </w:style>
  <w:style w:type="character" w:customStyle="1" w:styleId="WW-Szmozsiszimblumok111111">
    <w:name w:val="WW-Számozási szimbólumok111111"/>
    <w:rsid w:val="008962EB"/>
  </w:style>
  <w:style w:type="character" w:customStyle="1" w:styleId="WW-Szmozsiszimblumok1111111">
    <w:name w:val="WW-Számozási szimbólumok1111111"/>
    <w:rsid w:val="008962EB"/>
  </w:style>
  <w:style w:type="character" w:customStyle="1" w:styleId="WW-Szmozsiszimblumok11111111">
    <w:name w:val="WW-Számozási szimbólumok11111111"/>
    <w:rsid w:val="008962EB"/>
  </w:style>
  <w:style w:type="character" w:customStyle="1" w:styleId="WW-Szmozsiszimblumok111111111">
    <w:name w:val="WW-Számozási szimbólumok111111111"/>
    <w:rsid w:val="008962EB"/>
  </w:style>
  <w:style w:type="character" w:customStyle="1" w:styleId="WW-Szmozsiszimblumok1111111111">
    <w:name w:val="WW-Számozási szimbólumok1111111111"/>
    <w:rsid w:val="008962EB"/>
  </w:style>
  <w:style w:type="character" w:customStyle="1" w:styleId="WW-Szmozsiszimblumok11111111111">
    <w:name w:val="WW-Számozási szimbólumok11111111111"/>
    <w:rsid w:val="008962EB"/>
  </w:style>
  <w:style w:type="character" w:customStyle="1" w:styleId="WW-Szmozsiszimblumok111111111111">
    <w:name w:val="WW-Számozási szimbólumok111111111111"/>
    <w:rsid w:val="008962EB"/>
  </w:style>
  <w:style w:type="character" w:customStyle="1" w:styleId="WW-Szmozsiszimblumok1111111111111">
    <w:name w:val="WW-Számozási szimbólumok1111111111111"/>
    <w:rsid w:val="008962EB"/>
  </w:style>
  <w:style w:type="character" w:customStyle="1" w:styleId="WW-Szmozsiszimblumok11111111111111">
    <w:name w:val="WW-Számozási szimbólumok11111111111111"/>
    <w:rsid w:val="008962EB"/>
  </w:style>
  <w:style w:type="character" w:customStyle="1" w:styleId="WW-Szmozsiszimblumok111111111111111">
    <w:name w:val="WW-Számozási szimbólumok111111111111111"/>
    <w:rsid w:val="008962EB"/>
  </w:style>
  <w:style w:type="character" w:customStyle="1" w:styleId="WW-Szmozsiszimblumok1111111111111111">
    <w:name w:val="WW-Számozási szimbólumok1111111111111111"/>
    <w:rsid w:val="008962EB"/>
  </w:style>
  <w:style w:type="character" w:customStyle="1" w:styleId="WW8Num1z0">
    <w:name w:val="WW8Num1z0"/>
    <w:rsid w:val="008962EB"/>
    <w:rPr>
      <w:rFonts w:ascii="Times New Roman" w:eastAsia="Times New Roman" w:hAnsi="Times New Roman"/>
    </w:rPr>
  </w:style>
  <w:style w:type="character" w:customStyle="1" w:styleId="WW8Num1z1">
    <w:name w:val="WW8Num1z1"/>
    <w:rsid w:val="008962EB"/>
    <w:rPr>
      <w:rFonts w:ascii="Courier New" w:hAnsi="Courier New"/>
    </w:rPr>
  </w:style>
  <w:style w:type="character" w:customStyle="1" w:styleId="WW8Num1z2">
    <w:name w:val="WW8Num1z2"/>
    <w:rsid w:val="008962EB"/>
    <w:rPr>
      <w:rFonts w:ascii="Wingdings" w:hAnsi="Wingdings"/>
    </w:rPr>
  </w:style>
  <w:style w:type="character" w:customStyle="1" w:styleId="WW8Num1z3">
    <w:name w:val="WW8Num1z3"/>
    <w:rsid w:val="008962EB"/>
    <w:rPr>
      <w:rFonts w:ascii="Symbol" w:hAnsi="Symbol"/>
    </w:rPr>
  </w:style>
  <w:style w:type="character" w:customStyle="1" w:styleId="WW8Num2z0">
    <w:name w:val="WW8Num2z0"/>
    <w:rsid w:val="008962EB"/>
    <w:rPr>
      <w:rFonts w:ascii="StarSymbol" w:hAnsi="StarSymbol"/>
    </w:rPr>
  </w:style>
  <w:style w:type="character" w:customStyle="1" w:styleId="WW-WW8Num1z0">
    <w:name w:val="WW-WW8Num1z0"/>
    <w:rsid w:val="008962EB"/>
    <w:rPr>
      <w:rFonts w:ascii="StarSymbol" w:hAnsi="StarSymbol"/>
    </w:rPr>
  </w:style>
  <w:style w:type="character" w:customStyle="1" w:styleId="WW-WW8Num2z0">
    <w:name w:val="WW-WW8Num2z0"/>
    <w:rsid w:val="008962EB"/>
    <w:rPr>
      <w:rFonts w:ascii="StarSymbol" w:hAnsi="StarSymbol"/>
    </w:rPr>
  </w:style>
  <w:style w:type="character" w:customStyle="1" w:styleId="WW8Num4z0">
    <w:name w:val="WW8Num4z0"/>
    <w:rsid w:val="008962EB"/>
    <w:rPr>
      <w:rFonts w:ascii="StarSymbol" w:hAnsi="StarSymbol"/>
    </w:rPr>
  </w:style>
  <w:style w:type="character" w:customStyle="1" w:styleId="WW-WW8Num1z01">
    <w:name w:val="WW-WW8Num1z01"/>
    <w:rsid w:val="008962EB"/>
    <w:rPr>
      <w:rFonts w:ascii="StarSymbol" w:hAnsi="StarSymbol"/>
    </w:rPr>
  </w:style>
  <w:style w:type="character" w:customStyle="1" w:styleId="WW-WW8Num2z01">
    <w:name w:val="WW-WW8Num2z01"/>
    <w:rsid w:val="008962EB"/>
    <w:rPr>
      <w:rFonts w:ascii="StarSymbol" w:hAnsi="StarSymbol"/>
    </w:rPr>
  </w:style>
  <w:style w:type="character" w:customStyle="1" w:styleId="WW-WW8Num4z0">
    <w:name w:val="WW-WW8Num4z0"/>
    <w:rsid w:val="008962EB"/>
    <w:rPr>
      <w:rFonts w:ascii="StarSymbol" w:hAnsi="StarSymbol"/>
    </w:rPr>
  </w:style>
  <w:style w:type="character" w:customStyle="1" w:styleId="WW-WW8Num1z02">
    <w:name w:val="WW-WW8Num1z02"/>
    <w:rsid w:val="008962EB"/>
    <w:rPr>
      <w:rFonts w:ascii="StarSymbol" w:hAnsi="StarSymbol"/>
    </w:rPr>
  </w:style>
  <w:style w:type="character" w:customStyle="1" w:styleId="WW-WW8Num2z02">
    <w:name w:val="WW-WW8Num2z02"/>
    <w:rsid w:val="008962EB"/>
    <w:rPr>
      <w:rFonts w:ascii="StarSymbol" w:hAnsi="StarSymbol"/>
    </w:rPr>
  </w:style>
  <w:style w:type="character" w:customStyle="1" w:styleId="WW-WW8Num4z01">
    <w:name w:val="WW-WW8Num4z01"/>
    <w:rsid w:val="008962EB"/>
    <w:rPr>
      <w:rFonts w:ascii="StarSymbol" w:hAnsi="StarSymbol"/>
    </w:rPr>
  </w:style>
  <w:style w:type="character" w:customStyle="1" w:styleId="WW-WW8Num1z03">
    <w:name w:val="WW-WW8Num1z03"/>
    <w:rsid w:val="008962EB"/>
    <w:rPr>
      <w:rFonts w:ascii="StarSymbol" w:hAnsi="StarSymbol"/>
    </w:rPr>
  </w:style>
  <w:style w:type="character" w:customStyle="1" w:styleId="WW-WW8Num2z03">
    <w:name w:val="WW-WW8Num2z03"/>
    <w:rsid w:val="008962EB"/>
    <w:rPr>
      <w:rFonts w:ascii="StarSymbol" w:hAnsi="StarSymbol"/>
    </w:rPr>
  </w:style>
  <w:style w:type="character" w:customStyle="1" w:styleId="WW-WW8Num1z04">
    <w:name w:val="WW-WW8Num1z04"/>
    <w:rsid w:val="008962EB"/>
    <w:rPr>
      <w:rFonts w:ascii="StarSymbol" w:hAnsi="StarSymbol"/>
    </w:rPr>
  </w:style>
  <w:style w:type="character" w:customStyle="1" w:styleId="WW-WW8Num2z04">
    <w:name w:val="WW-WW8Num2z04"/>
    <w:rsid w:val="008962EB"/>
    <w:rPr>
      <w:rFonts w:ascii="StarSymbol" w:hAnsi="StarSymbol"/>
    </w:rPr>
  </w:style>
  <w:style w:type="character" w:customStyle="1" w:styleId="WW-WW8Num2z05">
    <w:name w:val="WW-WW8Num2z05"/>
    <w:rsid w:val="008962EB"/>
    <w:rPr>
      <w:rFonts w:ascii="StarSymbol" w:hAnsi="StarSymbol"/>
    </w:rPr>
  </w:style>
  <w:style w:type="character" w:customStyle="1" w:styleId="WW-WW8Num4z02">
    <w:name w:val="WW-WW8Num4z02"/>
    <w:rsid w:val="008962EB"/>
    <w:rPr>
      <w:rFonts w:ascii="StarSymbol" w:hAnsi="StarSymbol"/>
    </w:rPr>
  </w:style>
  <w:style w:type="character" w:customStyle="1" w:styleId="WW-WW8Num1z05">
    <w:name w:val="WW-WW8Num1z05"/>
    <w:rsid w:val="008962EB"/>
    <w:rPr>
      <w:rFonts w:ascii="StarSymbol" w:hAnsi="StarSymbol"/>
    </w:rPr>
  </w:style>
  <w:style w:type="character" w:customStyle="1" w:styleId="WW-WW8Num3z0">
    <w:name w:val="WW-WW8Num3z0"/>
    <w:rsid w:val="008962EB"/>
    <w:rPr>
      <w:rFonts w:ascii="StarSymbol" w:hAnsi="StarSymbol"/>
    </w:rPr>
  </w:style>
  <w:style w:type="character" w:customStyle="1" w:styleId="WW-WW8Num1z06">
    <w:name w:val="WW-WW8Num1z06"/>
    <w:rsid w:val="008962EB"/>
    <w:rPr>
      <w:rFonts w:ascii="StarSymbol" w:hAnsi="StarSymbol"/>
    </w:rPr>
  </w:style>
  <w:style w:type="character" w:customStyle="1" w:styleId="WW-WW8Num3z01">
    <w:name w:val="WW-WW8Num3z01"/>
    <w:rsid w:val="008962EB"/>
    <w:rPr>
      <w:rFonts w:ascii="StarSymbol" w:hAnsi="StarSymbol"/>
    </w:rPr>
  </w:style>
  <w:style w:type="character" w:customStyle="1" w:styleId="WW-WW8Num1z07">
    <w:name w:val="WW-WW8Num1z07"/>
    <w:rsid w:val="008962EB"/>
    <w:rPr>
      <w:rFonts w:ascii="StarSymbol" w:hAnsi="StarSymbol"/>
    </w:rPr>
  </w:style>
  <w:style w:type="character" w:customStyle="1" w:styleId="WW-WW8Num3z02">
    <w:name w:val="WW-WW8Num3z02"/>
    <w:rsid w:val="008962EB"/>
    <w:rPr>
      <w:rFonts w:ascii="StarSymbol" w:hAnsi="StarSymbol"/>
    </w:rPr>
  </w:style>
  <w:style w:type="character" w:customStyle="1" w:styleId="WW-WW8Num1z08">
    <w:name w:val="WW-WW8Num1z08"/>
    <w:rsid w:val="008962EB"/>
    <w:rPr>
      <w:rFonts w:ascii="StarSymbol" w:hAnsi="StarSymbol"/>
    </w:rPr>
  </w:style>
  <w:style w:type="character" w:customStyle="1" w:styleId="WW-WW8Num3z03">
    <w:name w:val="WW-WW8Num3z03"/>
    <w:rsid w:val="008962EB"/>
    <w:rPr>
      <w:rFonts w:ascii="StarSymbol" w:hAnsi="StarSymbol"/>
    </w:rPr>
  </w:style>
  <w:style w:type="character" w:customStyle="1" w:styleId="WW-WW8Num1z09">
    <w:name w:val="WW-WW8Num1z09"/>
    <w:rsid w:val="008962EB"/>
    <w:rPr>
      <w:rFonts w:ascii="StarSymbol" w:hAnsi="StarSymbol"/>
    </w:rPr>
  </w:style>
  <w:style w:type="character" w:customStyle="1" w:styleId="WW-WW8Num3z04">
    <w:name w:val="WW-WW8Num3z04"/>
    <w:rsid w:val="008962EB"/>
    <w:rPr>
      <w:rFonts w:ascii="StarSymbol" w:hAnsi="StarSymbol"/>
    </w:rPr>
  </w:style>
  <w:style w:type="character" w:customStyle="1" w:styleId="WW-WW8Num1z010">
    <w:name w:val="WW-WW8Num1z010"/>
    <w:rsid w:val="008962EB"/>
    <w:rPr>
      <w:rFonts w:ascii="StarSymbol" w:hAnsi="StarSymbol"/>
    </w:rPr>
  </w:style>
  <w:style w:type="character" w:customStyle="1" w:styleId="WW-WW8Num3z05">
    <w:name w:val="WW-WW8Num3z05"/>
    <w:rsid w:val="008962EB"/>
    <w:rPr>
      <w:rFonts w:ascii="StarSymbol" w:hAnsi="StarSymbol"/>
    </w:rPr>
  </w:style>
  <w:style w:type="character" w:customStyle="1" w:styleId="WW-WW8Num1z011">
    <w:name w:val="WW-WW8Num1z011"/>
    <w:rsid w:val="008962EB"/>
    <w:rPr>
      <w:rFonts w:ascii="StarSymbol" w:hAnsi="StarSymbol"/>
    </w:rPr>
  </w:style>
  <w:style w:type="paragraph" w:styleId="Lista">
    <w:name w:val="List"/>
    <w:basedOn w:val="Szvegtrzs"/>
    <w:uiPriority w:val="99"/>
    <w:rsid w:val="008962EB"/>
    <w:pPr>
      <w:suppressAutoHyphens/>
      <w:spacing w:after="0"/>
    </w:pPr>
    <w:rPr>
      <w:rFonts w:ascii="Times New Roman" w:hAnsi="Times New Roman" w:cs="Times New Roman"/>
      <w:szCs w:val="20"/>
    </w:rPr>
  </w:style>
  <w:style w:type="paragraph" w:customStyle="1" w:styleId="Cmsor">
    <w:name w:val="Címsor"/>
    <w:basedOn w:val="Norml"/>
    <w:next w:val="Szvegtrzs"/>
    <w:uiPriority w:val="99"/>
    <w:rsid w:val="008962EB"/>
    <w:pPr>
      <w:keepNext/>
      <w:suppressAutoHyphens/>
      <w:spacing w:before="240"/>
      <w:jc w:val="left"/>
    </w:pPr>
    <w:rPr>
      <w:rFonts w:ascii="Albany" w:eastAsia="HG Mincho Light J" w:hAnsi="Albany" w:cs="Times New Roman"/>
      <w:sz w:val="28"/>
      <w:szCs w:val="20"/>
    </w:rPr>
  </w:style>
  <w:style w:type="paragraph" w:customStyle="1" w:styleId="Jegyzk">
    <w:name w:val="Jegyzék"/>
    <w:basedOn w:val="Norml"/>
    <w:uiPriority w:val="99"/>
    <w:rsid w:val="008962EB"/>
    <w:pPr>
      <w:suppressLineNumbers/>
      <w:suppressAutoHyphens/>
      <w:spacing w:after="0"/>
      <w:jc w:val="left"/>
    </w:pPr>
    <w:rPr>
      <w:rFonts w:ascii="Times New Roman" w:hAnsi="Times New Roman" w:cs="Times New Roman"/>
      <w:szCs w:val="20"/>
    </w:rPr>
  </w:style>
  <w:style w:type="paragraph" w:styleId="Alcm">
    <w:name w:val="Subtitle"/>
    <w:basedOn w:val="Cmsor"/>
    <w:next w:val="Szvegtrzs"/>
    <w:link w:val="AlcmChar"/>
    <w:qFormat/>
    <w:rsid w:val="008962EB"/>
    <w:pPr>
      <w:jc w:val="center"/>
    </w:pPr>
    <w:rPr>
      <w:i/>
    </w:rPr>
  </w:style>
  <w:style w:type="character" w:customStyle="1" w:styleId="AlcmChar">
    <w:name w:val="Alcím Char"/>
    <w:basedOn w:val="Bekezdsalapbettpusa"/>
    <w:link w:val="Alcm"/>
    <w:rsid w:val="008962EB"/>
    <w:rPr>
      <w:rFonts w:ascii="Albany" w:eastAsia="HG Mincho Light J" w:hAnsi="Albany"/>
      <w:i/>
      <w:sz w:val="28"/>
    </w:rPr>
  </w:style>
  <w:style w:type="paragraph" w:customStyle="1" w:styleId="WW-Szvegtrzs3">
    <w:name w:val="WW-Szövegtörzs 3"/>
    <w:basedOn w:val="Norml"/>
    <w:uiPriority w:val="99"/>
    <w:rsid w:val="008962EB"/>
    <w:pPr>
      <w:suppressAutoHyphens/>
      <w:spacing w:after="0"/>
      <w:jc w:val="center"/>
    </w:pPr>
    <w:rPr>
      <w:rFonts w:ascii="Times New Roman" w:hAnsi="Times New Roman" w:cs="Times New Roman"/>
      <w:sz w:val="28"/>
      <w:szCs w:val="20"/>
    </w:rPr>
  </w:style>
  <w:style w:type="paragraph" w:customStyle="1" w:styleId="WW-NormlWeb">
    <w:name w:val="WW-Normál (Web)"/>
    <w:basedOn w:val="Norml"/>
    <w:uiPriority w:val="99"/>
    <w:rsid w:val="008962EB"/>
    <w:pPr>
      <w:suppressAutoHyphens/>
      <w:spacing w:before="100" w:after="100"/>
      <w:jc w:val="left"/>
    </w:pPr>
    <w:rPr>
      <w:rFonts w:ascii="Arial Unicode MS" w:eastAsia="Arial Unicode MS" w:hAnsi="Arial Unicode MS" w:cs="Times New Roman"/>
      <w:szCs w:val="20"/>
    </w:rPr>
  </w:style>
  <w:style w:type="paragraph" w:customStyle="1" w:styleId="WW-Szvegtrzs2">
    <w:name w:val="WW-Szövegtörzs 2"/>
    <w:basedOn w:val="Norml"/>
    <w:uiPriority w:val="99"/>
    <w:rsid w:val="008962EB"/>
    <w:pPr>
      <w:keepNext/>
      <w:suppressAutoHyphens/>
      <w:spacing w:before="240" w:after="0" w:line="360" w:lineRule="auto"/>
      <w:jc w:val="left"/>
    </w:pPr>
    <w:rPr>
      <w:rFonts w:ascii="Times New Roman" w:hAnsi="Times New Roman" w:cs="Times New Roman"/>
      <w:szCs w:val="20"/>
    </w:rPr>
  </w:style>
  <w:style w:type="paragraph" w:customStyle="1" w:styleId="WW-Kpalrs">
    <w:name w:val="WW-Képaláírás"/>
    <w:basedOn w:val="Norml"/>
    <w:next w:val="Norml"/>
    <w:uiPriority w:val="99"/>
    <w:rsid w:val="008962EB"/>
    <w:pPr>
      <w:keepNext/>
      <w:widowControl w:val="0"/>
      <w:suppressAutoHyphens/>
      <w:spacing w:before="120" w:line="360" w:lineRule="auto"/>
      <w:jc w:val="right"/>
    </w:pPr>
    <w:rPr>
      <w:rFonts w:ascii="Times New Roman" w:hAnsi="Times New Roman" w:cs="Times New Roman"/>
      <w:i/>
      <w:szCs w:val="20"/>
    </w:rPr>
  </w:style>
  <w:style w:type="paragraph" w:customStyle="1" w:styleId="Tblzat">
    <w:name w:val="Táblázat"/>
    <w:basedOn w:val="Norml"/>
    <w:uiPriority w:val="99"/>
    <w:rsid w:val="008962EB"/>
    <w:pPr>
      <w:widowControl w:val="0"/>
      <w:suppressAutoHyphens/>
      <w:spacing w:before="60" w:after="60"/>
      <w:jc w:val="center"/>
    </w:pPr>
    <w:rPr>
      <w:rFonts w:ascii="Times New Roman" w:hAnsi="Times New Roman" w:cs="Times New Roman"/>
      <w:szCs w:val="20"/>
    </w:rPr>
  </w:style>
  <w:style w:type="paragraph" w:customStyle="1" w:styleId="-Oldalszm-">
    <w:name w:val="- Oldalszám -"/>
    <w:uiPriority w:val="99"/>
    <w:rsid w:val="008962EB"/>
    <w:pPr>
      <w:suppressAutoHyphens/>
    </w:pPr>
    <w:rPr>
      <w:sz w:val="24"/>
    </w:rPr>
  </w:style>
  <w:style w:type="paragraph" w:customStyle="1" w:styleId="Tblzatfejlc">
    <w:name w:val="Táblázat fejléc"/>
    <w:basedOn w:val="Tblzattartalom"/>
    <w:rsid w:val="008962EB"/>
    <w:pPr>
      <w:jc w:val="center"/>
    </w:pPr>
    <w:rPr>
      <w:rFonts w:hint="default"/>
      <w:b/>
      <w:i/>
    </w:rPr>
  </w:style>
  <w:style w:type="paragraph" w:customStyle="1" w:styleId="WW-Szvegtrzs31">
    <w:name w:val="WW-Szövegtörzs 31"/>
    <w:basedOn w:val="Norml"/>
    <w:uiPriority w:val="99"/>
    <w:rsid w:val="008962EB"/>
    <w:pPr>
      <w:spacing w:after="0"/>
      <w:jc w:val="left"/>
    </w:pPr>
    <w:rPr>
      <w:rFonts w:ascii="Times New Roman" w:hAnsi="Times New Roman" w:cs="Times New Roman"/>
      <w:sz w:val="28"/>
      <w:szCs w:val="20"/>
    </w:rPr>
  </w:style>
  <w:style w:type="paragraph" w:customStyle="1" w:styleId="WW-Szvegtrzs21">
    <w:name w:val="WW-Szövegtörzs 21"/>
    <w:basedOn w:val="Norml"/>
    <w:uiPriority w:val="99"/>
    <w:rsid w:val="008962EB"/>
    <w:pPr>
      <w:spacing w:after="0"/>
      <w:jc w:val="left"/>
    </w:pPr>
    <w:rPr>
      <w:rFonts w:ascii="Times New Roman" w:hAnsi="Times New Roman" w:cs="Times New Roman"/>
      <w:szCs w:val="20"/>
    </w:rPr>
  </w:style>
  <w:style w:type="paragraph" w:customStyle="1" w:styleId="WW-Szvegtrzs312">
    <w:name w:val="WW-Szövegtörzs 312"/>
    <w:basedOn w:val="Norml"/>
    <w:uiPriority w:val="99"/>
    <w:rsid w:val="008962EB"/>
    <w:pPr>
      <w:spacing w:after="0"/>
    </w:pPr>
    <w:rPr>
      <w:rFonts w:ascii="Times New Roman" w:hAnsi="Times New Roman" w:cs="Times New Roman"/>
      <w:sz w:val="28"/>
      <w:szCs w:val="20"/>
    </w:rPr>
  </w:style>
  <w:style w:type="paragraph" w:customStyle="1" w:styleId="Csakszveg1">
    <w:name w:val="Csak szöveg1"/>
    <w:basedOn w:val="Norml"/>
    <w:uiPriority w:val="99"/>
    <w:rsid w:val="008962EB"/>
    <w:pPr>
      <w:spacing w:after="0"/>
      <w:jc w:val="left"/>
    </w:pPr>
    <w:rPr>
      <w:rFonts w:ascii="Courier New" w:hAnsi="Courier New" w:cs="Times New Roman"/>
      <w:sz w:val="20"/>
      <w:szCs w:val="20"/>
    </w:rPr>
  </w:style>
  <w:style w:type="paragraph" w:styleId="Szvegtrzs2">
    <w:name w:val="Body Text 2"/>
    <w:basedOn w:val="Norml"/>
    <w:link w:val="Szvegtrzs2Char"/>
    <w:uiPriority w:val="99"/>
    <w:rsid w:val="008962EB"/>
    <w:pPr>
      <w:suppressAutoHyphens/>
      <w:spacing w:after="0"/>
    </w:pPr>
    <w:rPr>
      <w:rFonts w:ascii="Times New Roman" w:hAnsi="Times New Roman" w:cs="Times New Roman"/>
      <w:color w:val="FF0000"/>
      <w:sz w:val="28"/>
      <w:szCs w:val="20"/>
    </w:rPr>
  </w:style>
  <w:style w:type="character" w:customStyle="1" w:styleId="Szvegtrzs2Char">
    <w:name w:val="Szövegtörzs 2 Char"/>
    <w:basedOn w:val="Bekezdsalapbettpusa"/>
    <w:link w:val="Szvegtrzs2"/>
    <w:uiPriority w:val="99"/>
    <w:rsid w:val="008962EB"/>
    <w:rPr>
      <w:color w:val="FF0000"/>
      <w:sz w:val="28"/>
    </w:rPr>
  </w:style>
  <w:style w:type="paragraph" w:customStyle="1" w:styleId="WW-NormlWeb1">
    <w:name w:val="WW-Normál (Web)1"/>
    <w:basedOn w:val="Norml"/>
    <w:uiPriority w:val="99"/>
    <w:rsid w:val="008962EB"/>
    <w:pPr>
      <w:spacing w:before="100" w:after="100"/>
      <w:jc w:val="left"/>
    </w:pPr>
    <w:rPr>
      <w:rFonts w:ascii="Arial Unicode MS" w:eastAsia="Arial Unicode MS" w:hAnsi="Arial Unicode MS" w:cs="Times New Roman"/>
      <w:szCs w:val="20"/>
    </w:rPr>
  </w:style>
  <w:style w:type="paragraph" w:styleId="HTML-kntformzott">
    <w:name w:val="HTML Preformatted"/>
    <w:basedOn w:val="Norml"/>
    <w:link w:val="HTML-kntformzottChar"/>
    <w:uiPriority w:val="99"/>
    <w:unhideWhenUsed/>
    <w:rsid w:val="0089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kntformzottChar">
    <w:name w:val="HTML-ként formázott Char"/>
    <w:basedOn w:val="Bekezdsalapbettpusa"/>
    <w:link w:val="HTML-kntformzott"/>
    <w:uiPriority w:val="99"/>
    <w:rsid w:val="008962EB"/>
    <w:rPr>
      <w:rFonts w:ascii="Courier New" w:hAnsi="Courier New" w:cs="Courier New"/>
    </w:rPr>
  </w:style>
  <w:style w:type="paragraph" w:customStyle="1" w:styleId="Szvegtrzs21">
    <w:name w:val="Szövegtörzs 21"/>
    <w:basedOn w:val="Norml"/>
    <w:uiPriority w:val="99"/>
    <w:rsid w:val="008962EB"/>
    <w:pPr>
      <w:widowControl w:val="0"/>
      <w:overflowPunct w:val="0"/>
      <w:autoSpaceDE w:val="0"/>
      <w:autoSpaceDN w:val="0"/>
      <w:adjustRightInd w:val="0"/>
      <w:spacing w:after="0"/>
      <w:textAlignment w:val="baseline"/>
    </w:pPr>
    <w:rPr>
      <w:rFonts w:ascii="Arial" w:hAnsi="Arial" w:cs="Times New Roman"/>
      <w:b/>
      <w:caps/>
      <w:sz w:val="32"/>
      <w:szCs w:val="20"/>
    </w:rPr>
  </w:style>
  <w:style w:type="character" w:customStyle="1" w:styleId="st">
    <w:name w:val="st"/>
    <w:basedOn w:val="Bekezdsalapbettpusa"/>
    <w:rsid w:val="008962EB"/>
  </w:style>
  <w:style w:type="character" w:customStyle="1" w:styleId="SzvegtrzsChar1">
    <w:name w:val="Szövegtörzs Char1"/>
    <w:basedOn w:val="Bekezdsalapbettpusa"/>
    <w:uiPriority w:val="99"/>
    <w:rsid w:val="008962EB"/>
    <w:rPr>
      <w:rFonts w:ascii="Times New Roman" w:eastAsia="Times New Roman" w:hAnsi="Times New Roman" w:cs="Times New Roman"/>
      <w:sz w:val="24"/>
      <w:szCs w:val="20"/>
      <w:lang w:eastAsia="hu-HU"/>
    </w:rPr>
  </w:style>
  <w:style w:type="table" w:customStyle="1" w:styleId="Papptblzat001">
    <w:name w:val="Papp táblázat001"/>
    <w:basedOn w:val="Normltblzat"/>
    <w:rsid w:val="008962EB"/>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jc w:val="center"/>
      </w:pPr>
      <w:rPr>
        <w:b/>
      </w:rPr>
      <w:tblPr/>
      <w:tcPr>
        <w:tcBorders>
          <w:top w:val="single" w:sz="12" w:space="0" w:color="auto"/>
          <w:left w:val="single" w:sz="12" w:space="0" w:color="auto"/>
          <w:bottom w:val="single" w:sz="12" w:space="0" w:color="auto"/>
          <w:right w:val="single" w:sz="12" w:space="0" w:color="auto"/>
        </w:tcBorders>
        <w:vAlign w:val="center"/>
      </w:tcPr>
    </w:tblStylePr>
    <w:tblStylePr w:type="lastRow">
      <w:rPr>
        <w:b/>
      </w:rPr>
    </w:tblStylePr>
  </w:style>
  <w:style w:type="paragraph" w:customStyle="1" w:styleId="Csakszveg2">
    <w:name w:val="Csak szöveg2"/>
    <w:basedOn w:val="Norml"/>
    <w:uiPriority w:val="99"/>
    <w:rsid w:val="008962EB"/>
    <w:pPr>
      <w:spacing w:after="0"/>
      <w:jc w:val="left"/>
    </w:pPr>
    <w:rPr>
      <w:rFonts w:ascii="Courier New" w:hAnsi="Courier New" w:cs="Times New Roman"/>
      <w:sz w:val="20"/>
      <w:szCs w:val="20"/>
    </w:rPr>
  </w:style>
  <w:style w:type="paragraph" w:customStyle="1" w:styleId="Szvegtrzs22">
    <w:name w:val="Szövegtörzs 22"/>
    <w:basedOn w:val="Norml"/>
    <w:uiPriority w:val="99"/>
    <w:rsid w:val="008962EB"/>
    <w:pPr>
      <w:widowControl w:val="0"/>
      <w:overflowPunct w:val="0"/>
      <w:autoSpaceDE w:val="0"/>
      <w:autoSpaceDN w:val="0"/>
      <w:adjustRightInd w:val="0"/>
      <w:spacing w:after="0"/>
      <w:textAlignment w:val="baseline"/>
    </w:pPr>
    <w:rPr>
      <w:rFonts w:ascii="Arial" w:hAnsi="Arial" w:cs="Times New Roman"/>
      <w:b/>
      <w:caps/>
      <w:sz w:val="32"/>
      <w:szCs w:val="20"/>
    </w:rPr>
  </w:style>
  <w:style w:type="paragraph" w:customStyle="1" w:styleId="np">
    <w:name w:val="np"/>
    <w:basedOn w:val="Norml"/>
    <w:uiPriority w:val="99"/>
    <w:rsid w:val="008962EB"/>
    <w:pPr>
      <w:spacing w:after="0"/>
    </w:pPr>
    <w:rPr>
      <w:rFonts w:ascii="Times New Roman" w:hAnsi="Times New Roman" w:cs="Times New Roman"/>
    </w:rPr>
  </w:style>
  <w:style w:type="paragraph" w:customStyle="1" w:styleId="uj">
    <w:name w:val="uj"/>
    <w:basedOn w:val="Norml"/>
    <w:uiPriority w:val="99"/>
    <w:rsid w:val="008962EB"/>
    <w:pPr>
      <w:pBdr>
        <w:left w:val="single" w:sz="36" w:space="3" w:color="FF0000"/>
      </w:pBdr>
      <w:spacing w:after="0"/>
      <w:ind w:firstLine="180"/>
    </w:pPr>
    <w:rPr>
      <w:rFonts w:ascii="Times New Roman" w:hAnsi="Times New Roman" w:cs="Times New Roman"/>
    </w:rPr>
  </w:style>
  <w:style w:type="paragraph" w:customStyle="1" w:styleId="Stlus3">
    <w:name w:val="Stílus3"/>
    <w:basedOn w:val="Norml"/>
    <w:uiPriority w:val="99"/>
    <w:rsid w:val="008962EB"/>
    <w:pPr>
      <w:spacing w:after="0"/>
      <w:jc w:val="left"/>
    </w:pPr>
    <w:rPr>
      <w:rFonts w:ascii="Times New Roman" w:hAnsi="Times New Roman" w:cs="Times New Roman"/>
      <w:szCs w:val="20"/>
    </w:rPr>
  </w:style>
  <w:style w:type="character" w:styleId="Kiemels">
    <w:name w:val="Emphasis"/>
    <w:basedOn w:val="Bekezdsalapbettpusa"/>
    <w:uiPriority w:val="20"/>
    <w:qFormat/>
    <w:rsid w:val="008962EB"/>
    <w:rPr>
      <w:b/>
      <w:bCs/>
      <w:i w:val="0"/>
      <w:iCs w:val="0"/>
    </w:rPr>
  </w:style>
  <w:style w:type="character" w:styleId="HTML-idzet">
    <w:name w:val="HTML Cite"/>
    <w:basedOn w:val="Bekezdsalapbettpusa"/>
    <w:uiPriority w:val="99"/>
    <w:semiHidden/>
    <w:unhideWhenUsed/>
    <w:rsid w:val="008962EB"/>
    <w:rPr>
      <w:i/>
      <w:iCs/>
    </w:rPr>
  </w:style>
  <w:style w:type="table" w:customStyle="1" w:styleId="TableNormal">
    <w:name w:val="Table Normal"/>
    <w:uiPriority w:val="2"/>
    <w:semiHidden/>
    <w:unhideWhenUsed/>
    <w:qFormat/>
    <w:rsid w:val="008962E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
    <w:uiPriority w:val="1"/>
    <w:qFormat/>
    <w:rsid w:val="008962EB"/>
    <w:pPr>
      <w:widowControl w:val="0"/>
      <w:autoSpaceDE w:val="0"/>
      <w:autoSpaceDN w:val="0"/>
      <w:spacing w:before="8" w:after="0"/>
      <w:jc w:val="left"/>
    </w:pPr>
    <w:rPr>
      <w:rFonts w:ascii="Calibri" w:eastAsia="Calibri" w:hAnsi="Calibri" w:cs="Calibri"/>
      <w:sz w:val="22"/>
      <w:szCs w:val="22"/>
      <w:lang w:val="en-US" w:eastAsia="en-US"/>
    </w:rPr>
  </w:style>
  <w:style w:type="numbering" w:customStyle="1" w:styleId="WW8Num3">
    <w:name w:val="WW8Num3"/>
    <w:basedOn w:val="Nemlista"/>
    <w:rsid w:val="008962EB"/>
    <w:pPr>
      <w:numPr>
        <w:numId w:val="5"/>
      </w:numPr>
    </w:pPr>
  </w:style>
  <w:style w:type="character" w:customStyle="1" w:styleId="Feloldatlanmegemlts1">
    <w:name w:val="Feloldatlan megemlítés1"/>
    <w:basedOn w:val="Bekezdsalapbettpusa"/>
    <w:uiPriority w:val="99"/>
    <w:semiHidden/>
    <w:unhideWhenUsed/>
    <w:rsid w:val="008962EB"/>
    <w:rPr>
      <w:color w:val="605E5C"/>
      <w:shd w:val="clear" w:color="auto" w:fill="E1DFDD"/>
    </w:rPr>
  </w:style>
  <w:style w:type="table" w:customStyle="1" w:styleId="Tblzatrcsos26jellszn1">
    <w:name w:val="Táblázat (rácsos) 2 – 6. jelölőszín1"/>
    <w:basedOn w:val="Normltblzat"/>
    <w:uiPriority w:val="47"/>
    <w:rsid w:val="008962EB"/>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blzatrcsos36jellszn1">
    <w:name w:val="Táblázat (rácsos) 3 – 6. jelölőszín1"/>
    <w:basedOn w:val="Normltblzat"/>
    <w:uiPriority w:val="48"/>
    <w:rsid w:val="008962E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blzatrcsos46jellszn1">
    <w:name w:val="Táblázat (rácsos) 4 – 6. jelölőszín1"/>
    <w:basedOn w:val="Normltblzat"/>
    <w:uiPriority w:val="49"/>
    <w:rsid w:val="008962E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Table">
    <w:name w:val="Table"/>
    <w:basedOn w:val="Norml"/>
    <w:rsid w:val="008962EB"/>
    <w:pPr>
      <w:spacing w:before="60" w:after="60" w:line="220" w:lineRule="atLeast"/>
      <w:jc w:val="left"/>
    </w:pPr>
    <w:rPr>
      <w:rFonts w:ascii="Arial" w:eastAsia="Calibri" w:hAnsi="Arial" w:cs="Times New Roman"/>
      <w:sz w:val="18"/>
      <w:szCs w:val="18"/>
    </w:rPr>
  </w:style>
  <w:style w:type="paragraph" w:customStyle="1" w:styleId="Norml1">
    <w:name w:val="Normál1"/>
    <w:basedOn w:val="Norml"/>
    <w:next w:val="Norml"/>
    <w:uiPriority w:val="99"/>
    <w:rsid w:val="008962EB"/>
    <w:pPr>
      <w:autoSpaceDE w:val="0"/>
      <w:autoSpaceDN w:val="0"/>
      <w:adjustRightInd w:val="0"/>
      <w:spacing w:after="60"/>
    </w:pPr>
    <w:rPr>
      <w:rFonts w:ascii="Times New Roman" w:eastAsia="Calibri" w:hAnsi="Times New Roman" w:cs="Times New Roman"/>
      <w:lang w:eastAsia="en-US"/>
    </w:rPr>
  </w:style>
  <w:style w:type="character" w:customStyle="1" w:styleId="longtext">
    <w:name w:val="long_text"/>
    <w:basedOn w:val="Bekezdsalapbettpusa"/>
    <w:rsid w:val="008962EB"/>
  </w:style>
  <w:style w:type="character" w:customStyle="1" w:styleId="apple-converted-space">
    <w:name w:val="apple-converted-space"/>
    <w:basedOn w:val="Bekezdsalapbettpusa"/>
    <w:rsid w:val="008962EB"/>
  </w:style>
  <w:style w:type="paragraph" w:customStyle="1" w:styleId="Cmsor10">
    <w:name w:val="Címsor1"/>
    <w:basedOn w:val="Norml"/>
    <w:next w:val="Szvegtrzs"/>
    <w:uiPriority w:val="99"/>
    <w:rsid w:val="008962EB"/>
    <w:pPr>
      <w:keepNext/>
      <w:suppressAutoHyphens/>
      <w:spacing w:before="240"/>
    </w:pPr>
    <w:rPr>
      <w:rFonts w:ascii="Albany" w:hAnsi="Albany" w:cs="Albany"/>
      <w:sz w:val="28"/>
      <w:szCs w:val="28"/>
    </w:rPr>
  </w:style>
  <w:style w:type="character" w:customStyle="1" w:styleId="h1grey">
    <w:name w:val="h1grey"/>
    <w:basedOn w:val="Bekezdsalapbettpusa"/>
    <w:uiPriority w:val="99"/>
    <w:rsid w:val="008962EB"/>
  </w:style>
  <w:style w:type="paragraph" w:customStyle="1" w:styleId="StlusCmsor1NemFlkvr">
    <w:name w:val="Stílus Címsor 1 + Nem Félkövér"/>
    <w:basedOn w:val="Cmsor1"/>
    <w:uiPriority w:val="99"/>
    <w:rsid w:val="008962EB"/>
    <w:pPr>
      <w:numPr>
        <w:numId w:val="4"/>
      </w:numPr>
      <w:tabs>
        <w:tab w:val="clear" w:pos="432"/>
        <w:tab w:val="left" w:pos="0"/>
      </w:tabs>
      <w:suppressAutoHyphens/>
      <w:spacing w:before="720"/>
      <w:ind w:left="0" w:firstLine="0"/>
    </w:pPr>
    <w:rPr>
      <w:rFonts w:ascii="Times New Roman félkövér" w:hAnsi="Times New Roman félkövér" w:cs="Times New Roman"/>
      <w:smallCaps/>
      <w:kern w:val="0"/>
      <w:szCs w:val="28"/>
    </w:rPr>
  </w:style>
  <w:style w:type="paragraph" w:customStyle="1" w:styleId="NormlWeb18">
    <w:name w:val="Normál (Web)18"/>
    <w:basedOn w:val="Norml"/>
    <w:uiPriority w:val="99"/>
    <w:rsid w:val="008962EB"/>
    <w:pPr>
      <w:spacing w:before="100" w:beforeAutospacing="1" w:after="60"/>
    </w:pPr>
    <w:rPr>
      <w:rFonts w:ascii="Times New Roman" w:hAnsi="Times New Roman" w:cs="Times New Roman"/>
    </w:rPr>
  </w:style>
  <w:style w:type="paragraph" w:customStyle="1" w:styleId="f100">
    <w:name w:val="f100"/>
    <w:basedOn w:val="Norml"/>
    <w:uiPriority w:val="99"/>
    <w:rsid w:val="008962EB"/>
    <w:pPr>
      <w:spacing w:after="60"/>
    </w:pPr>
    <w:rPr>
      <w:rFonts w:ascii="Times New Roman" w:hAnsi="Times New Roman" w:cs="Times New Roman"/>
    </w:rPr>
  </w:style>
  <w:style w:type="character" w:customStyle="1" w:styleId="f0014">
    <w:name w:val="f0014"/>
    <w:rsid w:val="008962EB"/>
    <w:rPr>
      <w:rFonts w:ascii="Times New Roman" w:hAnsi="Times New Roman" w:cs="Times New Roman"/>
      <w:b/>
      <w:bCs/>
    </w:rPr>
  </w:style>
  <w:style w:type="paragraph" w:customStyle="1" w:styleId="Berencsinormal">
    <w:name w:val="Berencsinormal"/>
    <w:basedOn w:val="Norml"/>
    <w:uiPriority w:val="99"/>
    <w:rsid w:val="008962EB"/>
    <w:pPr>
      <w:autoSpaceDN w:val="0"/>
      <w:spacing w:before="120"/>
    </w:pPr>
    <w:rPr>
      <w:rFonts w:ascii="Tahoma" w:hAnsi="Tahoma" w:cs="Times New Roman"/>
      <w:sz w:val="22"/>
      <w:lang w:eastAsia="zh-CN"/>
    </w:rPr>
  </w:style>
  <w:style w:type="paragraph" w:customStyle="1" w:styleId="StlusCmsor1FlkvrNincsalhzs">
    <w:name w:val="Stílus Címsor 1 + Félkövér Nincs aláhúzás"/>
    <w:basedOn w:val="Cmsor1"/>
    <w:uiPriority w:val="99"/>
    <w:rsid w:val="008962EB"/>
    <w:pPr>
      <w:numPr>
        <w:numId w:val="0"/>
      </w:numPr>
      <w:tabs>
        <w:tab w:val="left" w:pos="0"/>
        <w:tab w:val="num" w:pos="432"/>
      </w:tabs>
      <w:suppressAutoHyphens/>
      <w:spacing w:before="1440" w:after="720"/>
      <w:ind w:left="1134" w:hanging="432"/>
    </w:pPr>
    <w:rPr>
      <w:rFonts w:ascii="Times New Roman félkövér" w:hAnsi="Times New Roman félkövér" w:cs="Times New Roman"/>
      <w:b w:val="0"/>
      <w:smallCaps/>
      <w:kern w:val="0"/>
      <w:sz w:val="32"/>
      <w:szCs w:val="20"/>
    </w:rPr>
  </w:style>
  <w:style w:type="paragraph" w:styleId="Lista2">
    <w:name w:val="List 2"/>
    <w:basedOn w:val="Norml"/>
    <w:uiPriority w:val="99"/>
    <w:unhideWhenUsed/>
    <w:rsid w:val="008962EB"/>
    <w:pPr>
      <w:suppressAutoHyphens/>
      <w:spacing w:after="60"/>
      <w:ind w:left="566" w:hanging="283"/>
      <w:contextualSpacing/>
    </w:pPr>
    <w:rPr>
      <w:rFonts w:ascii="Times New Roman" w:hAnsi="Times New Roman" w:cs="Times New Roman"/>
      <w:szCs w:val="20"/>
    </w:rPr>
  </w:style>
  <w:style w:type="paragraph" w:styleId="Felsorols">
    <w:name w:val="List Bullet"/>
    <w:basedOn w:val="Norml"/>
    <w:uiPriority w:val="99"/>
    <w:unhideWhenUsed/>
    <w:rsid w:val="008962EB"/>
    <w:pPr>
      <w:numPr>
        <w:numId w:val="6"/>
      </w:numPr>
      <w:tabs>
        <w:tab w:val="clear" w:pos="360"/>
      </w:tabs>
      <w:suppressAutoHyphens/>
      <w:spacing w:after="60"/>
      <w:ind w:left="0" w:firstLine="0"/>
      <w:contextualSpacing/>
    </w:pPr>
    <w:rPr>
      <w:rFonts w:ascii="Times New Roman" w:hAnsi="Times New Roman" w:cs="Times New Roman"/>
      <w:szCs w:val="20"/>
    </w:rPr>
  </w:style>
  <w:style w:type="paragraph" w:styleId="Felsorols2">
    <w:name w:val="List Bullet 2"/>
    <w:basedOn w:val="Norml"/>
    <w:uiPriority w:val="99"/>
    <w:unhideWhenUsed/>
    <w:rsid w:val="008962EB"/>
    <w:pPr>
      <w:numPr>
        <w:numId w:val="7"/>
      </w:numPr>
      <w:tabs>
        <w:tab w:val="clear" w:pos="643"/>
      </w:tabs>
      <w:suppressAutoHyphens/>
      <w:spacing w:after="60"/>
      <w:ind w:left="0" w:firstLine="0"/>
      <w:contextualSpacing/>
    </w:pPr>
    <w:rPr>
      <w:rFonts w:ascii="Times New Roman" w:hAnsi="Times New Roman" w:cs="Times New Roman"/>
      <w:szCs w:val="20"/>
    </w:rPr>
  </w:style>
  <w:style w:type="paragraph" w:styleId="Szvegtrzselssora">
    <w:name w:val="Body Text First Indent"/>
    <w:basedOn w:val="Szvegtrzs"/>
    <w:link w:val="SzvegtrzselssoraChar"/>
    <w:uiPriority w:val="99"/>
    <w:unhideWhenUsed/>
    <w:rsid w:val="008962EB"/>
    <w:pPr>
      <w:suppressAutoHyphens/>
      <w:spacing w:after="60"/>
      <w:ind w:firstLine="360"/>
      <w:jc w:val="left"/>
    </w:pPr>
    <w:rPr>
      <w:rFonts w:ascii="Times New Roman" w:hAnsi="Times New Roman" w:cs="Times New Roman"/>
      <w:szCs w:val="20"/>
    </w:rPr>
  </w:style>
  <w:style w:type="character" w:customStyle="1" w:styleId="SzvegtrzselssoraChar">
    <w:name w:val="Szövegtörzs első sora Char"/>
    <w:basedOn w:val="SzvegtrzsChar"/>
    <w:link w:val="Szvegtrzselssora"/>
    <w:uiPriority w:val="99"/>
    <w:rsid w:val="008962EB"/>
    <w:rPr>
      <w:rFonts w:ascii="Garamond" w:hAnsi="Garamond" w:cs="Arial"/>
      <w:sz w:val="24"/>
      <w:szCs w:val="24"/>
    </w:rPr>
  </w:style>
  <w:style w:type="paragraph" w:styleId="Listafolytatsa2">
    <w:name w:val="List Continue 2"/>
    <w:basedOn w:val="Norml"/>
    <w:uiPriority w:val="99"/>
    <w:unhideWhenUsed/>
    <w:rsid w:val="008962EB"/>
    <w:pPr>
      <w:suppressAutoHyphens/>
      <w:ind w:left="566"/>
      <w:contextualSpacing/>
    </w:pPr>
    <w:rPr>
      <w:rFonts w:ascii="Times New Roman" w:hAnsi="Times New Roman" w:cs="Times New Roman"/>
      <w:szCs w:val="20"/>
    </w:rPr>
  </w:style>
  <w:style w:type="paragraph" w:customStyle="1" w:styleId="StlusCmsor3Eltte6ptUtna6ptSorkzszimpla">
    <w:name w:val="Stílus Címsor 3 + Előtte:  6 pt Utána:  6 pt Sorköz:  szimpla"/>
    <w:basedOn w:val="Cmsor3"/>
    <w:uiPriority w:val="99"/>
    <w:rsid w:val="008962EB"/>
    <w:pPr>
      <w:widowControl w:val="0"/>
      <w:numPr>
        <w:numId w:val="4"/>
      </w:numPr>
      <w:tabs>
        <w:tab w:val="clear" w:pos="720"/>
      </w:tabs>
      <w:suppressAutoHyphens/>
      <w:spacing w:before="360" w:after="240"/>
      <w:ind w:left="0" w:firstLine="0"/>
    </w:pPr>
    <w:rPr>
      <w:rFonts w:ascii="Times New Roman" w:hAnsi="Times New Roman" w:cs="Times New Roman"/>
      <w:b w:val="0"/>
      <w:i/>
      <w:szCs w:val="20"/>
    </w:rPr>
  </w:style>
  <w:style w:type="paragraph" w:customStyle="1" w:styleId="Feladcmebortkon1">
    <w:name w:val="Feladó címe borítékon1"/>
    <w:basedOn w:val="Norml"/>
    <w:uiPriority w:val="99"/>
    <w:rsid w:val="008962EB"/>
    <w:pPr>
      <w:suppressAutoHyphens/>
      <w:spacing w:after="60"/>
    </w:pPr>
    <w:rPr>
      <w:rFonts w:ascii="H-Times New Roman" w:hAnsi="H-Times New Roman" w:cs="Times New Roman"/>
      <w:szCs w:val="20"/>
      <w:lang w:val="en-US" w:eastAsia="ar-SA"/>
    </w:rPr>
  </w:style>
  <w:style w:type="paragraph" w:styleId="Szvegtrzsbehzssal2">
    <w:name w:val="Body Text Indent 2"/>
    <w:basedOn w:val="Norml"/>
    <w:link w:val="Szvegtrzsbehzssal2Char"/>
    <w:uiPriority w:val="99"/>
    <w:semiHidden/>
    <w:unhideWhenUsed/>
    <w:rsid w:val="008962EB"/>
    <w:pPr>
      <w:spacing w:line="480" w:lineRule="auto"/>
      <w:ind w:left="283"/>
    </w:pPr>
    <w:rPr>
      <w:rFonts w:asciiTheme="minorHAnsi" w:eastAsiaTheme="minorHAnsi" w:hAnsiTheme="minorHAnsi" w:cstheme="minorBidi"/>
      <w:sz w:val="22"/>
      <w:szCs w:val="22"/>
      <w:lang w:eastAsia="en-US"/>
    </w:rPr>
  </w:style>
  <w:style w:type="character" w:customStyle="1" w:styleId="Szvegtrzsbehzssal2Char">
    <w:name w:val="Szövegtörzs behúzással 2 Char"/>
    <w:basedOn w:val="Bekezdsalapbettpusa"/>
    <w:link w:val="Szvegtrzsbehzssal2"/>
    <w:uiPriority w:val="99"/>
    <w:semiHidden/>
    <w:rsid w:val="008962EB"/>
    <w:rPr>
      <w:rFonts w:asciiTheme="minorHAnsi" w:eastAsiaTheme="minorHAnsi" w:hAnsiTheme="minorHAnsi" w:cstheme="minorBidi"/>
      <w:sz w:val="22"/>
      <w:szCs w:val="22"/>
      <w:lang w:eastAsia="en-US"/>
    </w:rPr>
  </w:style>
  <w:style w:type="paragraph" w:customStyle="1" w:styleId="cim2">
    <w:name w:val="cim2"/>
    <w:basedOn w:val="Cmsor3"/>
    <w:uiPriority w:val="99"/>
    <w:rsid w:val="008962EB"/>
    <w:pPr>
      <w:widowControl w:val="0"/>
      <w:numPr>
        <w:ilvl w:val="0"/>
        <w:numId w:val="0"/>
      </w:numPr>
      <w:autoSpaceDE w:val="0"/>
      <w:autoSpaceDN w:val="0"/>
      <w:spacing w:before="360" w:after="60"/>
      <w:ind w:left="2160" w:hanging="360"/>
      <w:jc w:val="center"/>
      <w:outlineLvl w:val="9"/>
    </w:pPr>
    <w:rPr>
      <w:rFonts w:ascii="Times New Roman" w:hAnsi="Times New Roman" w:cs="Times New Roman"/>
      <w:b w:val="0"/>
      <w:i/>
      <w:szCs w:val="24"/>
      <w:lang w:val="en-US"/>
    </w:rPr>
  </w:style>
  <w:style w:type="paragraph" w:customStyle="1" w:styleId="StlusCmsor313ptNemDlt">
    <w:name w:val="Stílus Címsor 3 + 13 pt Nem Dőlt"/>
    <w:basedOn w:val="Cmsor3"/>
    <w:rsid w:val="008962EB"/>
    <w:pPr>
      <w:numPr>
        <w:ilvl w:val="0"/>
        <w:numId w:val="0"/>
      </w:numPr>
      <w:tabs>
        <w:tab w:val="left" w:pos="1134"/>
        <w:tab w:val="left" w:pos="1701"/>
        <w:tab w:val="left" w:pos="1985"/>
        <w:tab w:val="num" w:pos="2148"/>
      </w:tabs>
      <w:spacing w:after="60"/>
      <w:ind w:left="1932" w:hanging="504"/>
      <w:jc w:val="left"/>
    </w:pPr>
    <w:rPr>
      <w:rFonts w:ascii="Times New Roman" w:hAnsi="Times New Roman"/>
      <w:bCs w:val="0"/>
      <w:sz w:val="26"/>
      <w:szCs w:val="24"/>
    </w:rPr>
  </w:style>
  <w:style w:type="paragraph" w:customStyle="1" w:styleId="Norml11">
    <w:name w:val="Normál11"/>
    <w:basedOn w:val="Norml"/>
    <w:rsid w:val="008962EB"/>
    <w:pPr>
      <w:overflowPunct w:val="0"/>
      <w:autoSpaceDE w:val="0"/>
      <w:autoSpaceDN w:val="0"/>
      <w:adjustRightInd w:val="0"/>
      <w:spacing w:after="0"/>
      <w:textAlignment w:val="baseline"/>
    </w:pPr>
    <w:rPr>
      <w:rFonts w:ascii="Times New Roman" w:hAnsi="Times New Roman" w:cs="Times New Roman"/>
      <w:bCs/>
      <w:szCs w:val="20"/>
    </w:rPr>
  </w:style>
  <w:style w:type="character" w:customStyle="1" w:styleId="Feloldatlanmegemlts2">
    <w:name w:val="Feloldatlan megemlítés2"/>
    <w:basedOn w:val="Bekezdsalapbettpusa"/>
    <w:uiPriority w:val="99"/>
    <w:semiHidden/>
    <w:unhideWhenUsed/>
    <w:rsid w:val="008962EB"/>
    <w:rPr>
      <w:color w:val="605E5C"/>
      <w:shd w:val="clear" w:color="auto" w:fill="E1DFDD"/>
    </w:rPr>
  </w:style>
  <w:style w:type="character" w:customStyle="1" w:styleId="FontStyle136">
    <w:name w:val="Font Style136"/>
    <w:uiPriority w:val="99"/>
    <w:rsid w:val="008962EB"/>
    <w:rPr>
      <w:rFonts w:ascii="Times New Roman" w:hAnsi="Times New Roman" w:cs="Times New Roman"/>
      <w:color w:val="000000"/>
      <w:sz w:val="22"/>
      <w:szCs w:val="22"/>
    </w:rPr>
  </w:style>
  <w:style w:type="paragraph" w:customStyle="1" w:styleId="Style65">
    <w:name w:val="Style65"/>
    <w:basedOn w:val="Norml"/>
    <w:uiPriority w:val="99"/>
    <w:rsid w:val="008962EB"/>
    <w:pPr>
      <w:widowControl w:val="0"/>
      <w:autoSpaceDE w:val="0"/>
      <w:autoSpaceDN w:val="0"/>
      <w:adjustRightInd w:val="0"/>
      <w:spacing w:after="60" w:line="271" w:lineRule="exact"/>
    </w:pPr>
    <w:rPr>
      <w:rFonts w:ascii="Times New Roman" w:hAnsi="Times New Roman" w:cs="Times New Roman"/>
    </w:rPr>
  </w:style>
  <w:style w:type="paragraph" w:customStyle="1" w:styleId="Nincstrkz1">
    <w:name w:val="Nincs térköz1"/>
    <w:rsid w:val="008962EB"/>
    <w:rPr>
      <w:sz w:val="24"/>
    </w:rPr>
  </w:style>
  <w:style w:type="character" w:customStyle="1" w:styleId="math-inline">
    <w:name w:val="math-inline"/>
    <w:basedOn w:val="Bekezdsalapbettpusa"/>
    <w:rsid w:val="00F703CB"/>
  </w:style>
  <w:style w:type="character" w:customStyle="1" w:styleId="citation-776">
    <w:name w:val="citation-776"/>
    <w:basedOn w:val="Bekezdsalapbettpusa"/>
    <w:rsid w:val="002D43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893777">
      <w:bodyDiv w:val="1"/>
      <w:marLeft w:val="0"/>
      <w:marRight w:val="0"/>
      <w:marTop w:val="0"/>
      <w:marBottom w:val="0"/>
      <w:divBdr>
        <w:top w:val="none" w:sz="0" w:space="0" w:color="auto"/>
        <w:left w:val="none" w:sz="0" w:space="0" w:color="auto"/>
        <w:bottom w:val="none" w:sz="0" w:space="0" w:color="auto"/>
        <w:right w:val="none" w:sz="0" w:space="0" w:color="auto"/>
      </w:divBdr>
    </w:div>
    <w:div w:id="165865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Lt06\Desktop\minta%20-%20&#233;p&#237;t&#233;si%20enged&#233;ly%20kv%20tervdokument&#225;ci&#243;%20v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AE95B52718E49749B2270FA785D8BA2"/>
        <w:category>
          <w:name w:val="Általános"/>
          <w:gallery w:val="placeholder"/>
        </w:category>
        <w:types>
          <w:type w:val="bbPlcHdr"/>
        </w:types>
        <w:behaviors>
          <w:behavior w:val="content"/>
        </w:behaviors>
        <w:guid w:val="{FE38F6A3-47FA-4407-9324-278DC90A830C}"/>
      </w:docPartPr>
      <w:docPartBody>
        <w:p w:rsidR="00766ED5" w:rsidRDefault="00766ED5">
          <w:pPr>
            <w:pStyle w:val="7AE95B52718E49749B2270FA785D8BA2"/>
          </w:pPr>
          <w:r w:rsidRPr="008F4C98">
            <w:rPr>
              <w:rStyle w:val="Helyrzszveg"/>
            </w:rPr>
            <w:t>Szöveg beírásához kattintson ide.</w:t>
          </w:r>
        </w:p>
      </w:docPartBody>
    </w:docPart>
    <w:docPart>
      <w:docPartPr>
        <w:name w:val="A51A49A6400B4E6E82F6B2A8ABD9FF2C"/>
        <w:category>
          <w:name w:val="Általános"/>
          <w:gallery w:val="placeholder"/>
        </w:category>
        <w:types>
          <w:type w:val="bbPlcHdr"/>
        </w:types>
        <w:behaviors>
          <w:behavior w:val="content"/>
        </w:behaviors>
        <w:guid w:val="{C563B1AB-57D5-47FA-876D-703B718C5BA1}"/>
      </w:docPartPr>
      <w:docPartBody>
        <w:p w:rsidR="00766ED5" w:rsidRDefault="00766ED5">
          <w:pPr>
            <w:pStyle w:val="A51A49A6400B4E6E82F6B2A8ABD9FF2C"/>
          </w:pPr>
          <w:r w:rsidRPr="008F4C98">
            <w:rPr>
              <w:rStyle w:val="Helyrzszveg"/>
            </w:rPr>
            <w:t>Szöveg beírásához kattintson ide.</w:t>
          </w:r>
        </w:p>
      </w:docPartBody>
    </w:docPart>
    <w:docPart>
      <w:docPartPr>
        <w:name w:val="6CBE05A9D3834AEA93075365968457ED"/>
        <w:category>
          <w:name w:val="Általános"/>
          <w:gallery w:val="placeholder"/>
        </w:category>
        <w:types>
          <w:type w:val="bbPlcHdr"/>
        </w:types>
        <w:behaviors>
          <w:behavior w:val="content"/>
        </w:behaviors>
        <w:guid w:val="{314699A5-B41B-4155-B28C-36B00F993F41}"/>
      </w:docPartPr>
      <w:docPartBody>
        <w:p w:rsidR="00766ED5" w:rsidRDefault="00766ED5">
          <w:pPr>
            <w:pStyle w:val="6CBE05A9D3834AEA93075365968457ED"/>
          </w:pPr>
          <w:r w:rsidRPr="008F4C98">
            <w:rPr>
              <w:rStyle w:val="Helyrzszveg"/>
            </w:rPr>
            <w:t>Szöveg beírásához kattintson ide.</w:t>
          </w:r>
        </w:p>
      </w:docPartBody>
    </w:docPart>
    <w:docPart>
      <w:docPartPr>
        <w:name w:val="48B7B219E7FE45929428FF60E12F2CF5"/>
        <w:category>
          <w:name w:val="Általános"/>
          <w:gallery w:val="placeholder"/>
        </w:category>
        <w:types>
          <w:type w:val="bbPlcHdr"/>
        </w:types>
        <w:behaviors>
          <w:behavior w:val="content"/>
        </w:behaviors>
        <w:guid w:val="{C51EA09B-673D-4C1F-9278-017DC512C110}"/>
      </w:docPartPr>
      <w:docPartBody>
        <w:p w:rsidR="00766ED5" w:rsidRDefault="00766ED5">
          <w:pPr>
            <w:pStyle w:val="48B7B219E7FE45929428FF60E12F2CF5"/>
          </w:pPr>
          <w:r w:rsidRPr="008F4C98">
            <w:rPr>
              <w:rStyle w:val="Helyrzszveg"/>
            </w:rPr>
            <w:t>Szöveg beírásához kattintson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Arial Unicode MS'">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tarSymbol">
    <w:altName w:val="MS Mincho"/>
    <w:charset w:val="02"/>
    <w:family w:val="auto"/>
    <w:pitch w:val="default"/>
  </w:font>
  <w:font w:name="Albany">
    <w:altName w:val="Arial"/>
    <w:charset w:val="00"/>
    <w:family w:val="swiss"/>
    <w:pitch w:val="variable"/>
  </w:font>
  <w:font w:name="HG Mincho Light J">
    <w:altName w:val="Times New Roman"/>
    <w:charset w:val="00"/>
    <w:family w:val="auto"/>
    <w:pitch w:val="variable"/>
  </w:font>
  <w:font w:name="Arial Unicode MS">
    <w:panose1 w:val="020B0604020202020204"/>
    <w:charset w:val="80"/>
    <w:family w:val="swiss"/>
    <w:pitch w:val="variable"/>
    <w:sig w:usb0="F7FFAEFF" w:usb1="F9DFFFFF" w:usb2="0000007F" w:usb3="00000000" w:csb0="003F01FF" w:csb1="00000000"/>
  </w:font>
  <w:font w:name="Times New Roman félkövér">
    <w:panose1 w:val="02020803070505020304"/>
    <w:charset w:val="00"/>
    <w:family w:val="roman"/>
    <w:notTrueType/>
    <w:pitch w:val="default"/>
    <w:sig w:usb0="00000003" w:usb1="00000000" w:usb2="00000000" w:usb3="00000000" w:csb0="00000001" w:csb1="00000000"/>
  </w:font>
  <w:font w:name="H-Times New Roma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haroni">
    <w:charset w:val="B1"/>
    <w:family w:val="auto"/>
    <w:pitch w:val="variable"/>
    <w:sig w:usb0="00000803" w:usb1="00000000" w:usb2="00000000" w:usb3="00000000" w:csb0="0000002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6ED5"/>
    <w:rsid w:val="00004F38"/>
    <w:rsid w:val="0005470C"/>
    <w:rsid w:val="001A5A8B"/>
    <w:rsid w:val="001B3A16"/>
    <w:rsid w:val="00223EB9"/>
    <w:rsid w:val="00235CCA"/>
    <w:rsid w:val="00257DD4"/>
    <w:rsid w:val="00303B9B"/>
    <w:rsid w:val="00333AE7"/>
    <w:rsid w:val="003850E6"/>
    <w:rsid w:val="003A1FE3"/>
    <w:rsid w:val="003B7420"/>
    <w:rsid w:val="00424197"/>
    <w:rsid w:val="0044438C"/>
    <w:rsid w:val="004537CD"/>
    <w:rsid w:val="00466C52"/>
    <w:rsid w:val="005365C6"/>
    <w:rsid w:val="005C7F7B"/>
    <w:rsid w:val="006112FE"/>
    <w:rsid w:val="0065516F"/>
    <w:rsid w:val="006675BE"/>
    <w:rsid w:val="00672551"/>
    <w:rsid w:val="0067525C"/>
    <w:rsid w:val="00721B3E"/>
    <w:rsid w:val="007242E6"/>
    <w:rsid w:val="00762327"/>
    <w:rsid w:val="00765A38"/>
    <w:rsid w:val="00766ED5"/>
    <w:rsid w:val="007B0D86"/>
    <w:rsid w:val="007C2F9A"/>
    <w:rsid w:val="008556C4"/>
    <w:rsid w:val="008679CA"/>
    <w:rsid w:val="008B4971"/>
    <w:rsid w:val="00982896"/>
    <w:rsid w:val="00995846"/>
    <w:rsid w:val="009B04A9"/>
    <w:rsid w:val="009D390E"/>
    <w:rsid w:val="00A0395F"/>
    <w:rsid w:val="00A54C3D"/>
    <w:rsid w:val="00AC5E69"/>
    <w:rsid w:val="00B32400"/>
    <w:rsid w:val="00BA097F"/>
    <w:rsid w:val="00CF5FA5"/>
    <w:rsid w:val="00CF621F"/>
    <w:rsid w:val="00D47C37"/>
    <w:rsid w:val="00D47DD8"/>
    <w:rsid w:val="00DB059C"/>
    <w:rsid w:val="00E141AF"/>
    <w:rsid w:val="00F21408"/>
    <w:rsid w:val="00F2549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6112FE"/>
    <w:rPr>
      <w:color w:val="808080"/>
    </w:rPr>
  </w:style>
  <w:style w:type="paragraph" w:customStyle="1" w:styleId="7AE95B52718E49749B2270FA785D8BA2">
    <w:name w:val="7AE95B52718E49749B2270FA785D8BA2"/>
  </w:style>
  <w:style w:type="paragraph" w:customStyle="1" w:styleId="A51A49A6400B4E6E82F6B2A8ABD9FF2C">
    <w:name w:val="A51A49A6400B4E6E82F6B2A8ABD9FF2C"/>
  </w:style>
  <w:style w:type="paragraph" w:customStyle="1" w:styleId="6CBE05A9D3834AEA93075365968457ED">
    <w:name w:val="6CBE05A9D3834AEA93075365968457ED"/>
  </w:style>
  <w:style w:type="paragraph" w:customStyle="1" w:styleId="48B7B219E7FE45929428FF60E12F2CF5">
    <w:name w:val="48B7B219E7FE45929428FF60E12F2C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AFA23-F4C1-4D9A-9C3F-8EC765B5A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minta - építési engedély kv tervdokumentáció v01</Template>
  <TotalTime>364</TotalTime>
  <Pages>1</Pages>
  <Words>10332</Words>
  <Characters>71293</Characters>
  <Application>Microsoft Office Word</Application>
  <DocSecurity>0</DocSecurity>
  <Lines>594</Lines>
  <Paragraphs>162</Paragraphs>
  <ScaleCrop>false</ScaleCrop>
  <HeadingPairs>
    <vt:vector size="2" baseType="variant">
      <vt:variant>
        <vt:lpstr>Cím</vt:lpstr>
      </vt:variant>
      <vt:variant>
        <vt:i4>1</vt:i4>
      </vt:variant>
    </vt:vector>
  </HeadingPairs>
  <TitlesOfParts>
    <vt:vector size="1" baseType="lpstr">
      <vt:lpstr>S4A-20260522-03 _ DR. FÜLÖP MÉNES Kft. _ BAT</vt:lpstr>
    </vt:vector>
  </TitlesOfParts>
  <Company/>
  <LinksUpToDate>false</LinksUpToDate>
  <CharactersWithSpaces>81463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S4A-20260522-04 _ DR. FÜLÖP MÉNES Kft. _ Éghajlatvédelem</dc:title>
  <dc:creator>Fodor István;S4A</dc:creator>
  <cp:keywords>Levegőtisztaság-védelem;Hatásterület lehatárolás</cp:keywords>
  <cp:lastModifiedBy>István Fodor</cp:lastModifiedBy>
  <cp:revision>25</cp:revision>
  <cp:lastPrinted>2026-05-31T21:04:00Z</cp:lastPrinted>
  <dcterms:created xsi:type="dcterms:W3CDTF">2026-05-24T21:24:00Z</dcterms:created>
  <dcterms:modified xsi:type="dcterms:W3CDTF">2026-05-31T21:04:00Z</dcterms:modified>
</cp:coreProperties>
</file>