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06EF5" w14:textId="77777777" w:rsidR="004B18CE" w:rsidRDefault="004B18CE" w:rsidP="000C2315">
      <w:pPr>
        <w:spacing w:after="360"/>
        <w:jc w:val="center"/>
        <w:rPr>
          <w:szCs w:val="32"/>
        </w:rPr>
      </w:pPr>
    </w:p>
    <w:p w14:paraId="409D7D7A" w14:textId="2C4DA5D7" w:rsidR="00D42B8C" w:rsidRDefault="00D42B8C" w:rsidP="00D42B8C">
      <w:pPr>
        <w:spacing w:after="0"/>
        <w:jc w:val="center"/>
        <w:rPr>
          <w:szCs w:val="32"/>
        </w:rPr>
      </w:pPr>
    </w:p>
    <w:sdt>
      <w:sdtPr>
        <w:rPr>
          <w:b/>
          <w:sz w:val="48"/>
          <w:szCs w:val="32"/>
        </w:rPr>
        <w:alias w:val="Cég/vállalkozás/intézmény/szervezet neve"/>
        <w:tag w:val="Cég/vállalkozás/intézmény/szervezet neve"/>
        <w:id w:val="1532994292"/>
        <w:placeholder>
          <w:docPart w:val="7AE95B52718E49749B2270FA785D8BA2"/>
        </w:placeholder>
        <w:text/>
      </w:sdtPr>
      <w:sdtContent>
        <w:p w14:paraId="74E38E4E" w14:textId="20F42974" w:rsidR="00BE1CF1" w:rsidRDefault="00486C9D" w:rsidP="00BE1CF1">
          <w:pPr>
            <w:spacing w:before="240" w:after="240"/>
            <w:jc w:val="center"/>
            <w:rPr>
              <w:b/>
              <w:sz w:val="48"/>
              <w:szCs w:val="32"/>
            </w:rPr>
          </w:pPr>
          <w:r w:rsidRPr="00486C9D">
            <w:rPr>
              <w:b/>
              <w:sz w:val="48"/>
              <w:szCs w:val="32"/>
            </w:rPr>
            <w:t>DR. FÜLÖP MÉNES Kft.</w:t>
          </w:r>
        </w:p>
      </w:sdtContent>
    </w:sdt>
    <w:p w14:paraId="58D73022" w14:textId="2E159C8E" w:rsidR="00BE1CF1" w:rsidRPr="003A070B" w:rsidRDefault="003A070B" w:rsidP="00BE1CF1">
      <w:pPr>
        <w:spacing w:before="240" w:after="240"/>
        <w:jc w:val="center"/>
        <w:rPr>
          <w:b/>
          <w:sz w:val="32"/>
          <w:szCs w:val="32"/>
        </w:rPr>
      </w:pPr>
      <w:r>
        <w:rPr>
          <w:b/>
          <w:sz w:val="32"/>
          <w:szCs w:val="32"/>
        </w:rPr>
        <w:t>(</w:t>
      </w:r>
      <w:sdt>
        <w:sdtPr>
          <w:rPr>
            <w:b/>
            <w:sz w:val="32"/>
            <w:szCs w:val="32"/>
          </w:rPr>
          <w:alias w:val="Széhely cím"/>
          <w:tag w:val="Széhely cím"/>
          <w:id w:val="297336404"/>
          <w:placeholder>
            <w:docPart w:val="A51A49A6400B4E6E82F6B2A8ABD9FF2C"/>
          </w:placeholder>
          <w:text/>
        </w:sdtPr>
        <w:sdtContent>
          <w:r w:rsidR="006462A6" w:rsidRPr="006462A6">
            <w:rPr>
              <w:b/>
              <w:sz w:val="32"/>
              <w:szCs w:val="32"/>
            </w:rPr>
            <w:t>5243 Tiszaderzs, Őrház 6/3.</w:t>
          </w:r>
        </w:sdtContent>
      </w:sdt>
      <w:r>
        <w:rPr>
          <w:b/>
          <w:sz w:val="32"/>
          <w:szCs w:val="32"/>
        </w:rPr>
        <w:t>)</w:t>
      </w:r>
    </w:p>
    <w:sdt>
      <w:sdtPr>
        <w:rPr>
          <w:b/>
          <w:sz w:val="56"/>
          <w:szCs w:val="72"/>
        </w:rPr>
        <w:alias w:val="Dokumentum címe"/>
        <w:tag w:val="Dokumentum címe"/>
        <w:id w:val="-2083743678"/>
        <w:placeholder>
          <w:docPart w:val="6CBE05A9D3834AEA93075365968457ED"/>
        </w:placeholder>
        <w:text/>
      </w:sdtPr>
      <w:sdtContent>
        <w:p w14:paraId="525E7479" w14:textId="1B819BB3" w:rsidR="00D331B5" w:rsidRPr="00795969" w:rsidRDefault="006462A6" w:rsidP="00795969">
          <w:pPr>
            <w:spacing w:before="840" w:after="360"/>
            <w:jc w:val="center"/>
            <w:rPr>
              <w:b/>
              <w:sz w:val="56"/>
              <w:szCs w:val="72"/>
            </w:rPr>
          </w:pPr>
          <w:r w:rsidRPr="006462A6">
            <w:rPr>
              <w:b/>
              <w:sz w:val="56"/>
              <w:szCs w:val="72"/>
            </w:rPr>
            <w:t xml:space="preserve">Környezeti hatásvizsgálati és egységes környezethasználati engedélyezési dokumentáció </w:t>
          </w:r>
          <w:r w:rsidR="00640B53">
            <w:rPr>
              <w:b/>
              <w:sz w:val="56"/>
              <w:szCs w:val="72"/>
            </w:rPr>
            <w:t>–</w:t>
          </w:r>
          <w:r w:rsidRPr="006462A6">
            <w:rPr>
              <w:b/>
              <w:sz w:val="56"/>
              <w:szCs w:val="72"/>
            </w:rPr>
            <w:t xml:space="preserve"> </w:t>
          </w:r>
          <w:r w:rsidR="001800D5">
            <w:rPr>
              <w:b/>
              <w:sz w:val="56"/>
              <w:szCs w:val="72"/>
            </w:rPr>
            <w:t>Bűz</w:t>
          </w:r>
        </w:p>
      </w:sdtContent>
    </w:sdt>
    <w:p w14:paraId="5DD8BDE2" w14:textId="0CC9D2FA" w:rsidR="00640B53" w:rsidRPr="00640B53" w:rsidRDefault="00640B53" w:rsidP="002A00AF">
      <w:pPr>
        <w:spacing w:before="480"/>
        <w:jc w:val="center"/>
        <w:rPr>
          <w:b/>
          <w:sz w:val="36"/>
          <w:szCs w:val="36"/>
        </w:rPr>
      </w:pPr>
      <w:r w:rsidRPr="00640B53">
        <w:rPr>
          <w:b/>
          <w:sz w:val="36"/>
          <w:szCs w:val="36"/>
        </w:rPr>
        <w:t>Sertéstelep és hígtrágya tároló létesítése</w:t>
      </w:r>
    </w:p>
    <w:p w14:paraId="0CA723EC" w14:textId="4BDEAEE8" w:rsidR="004B18CE" w:rsidRPr="000E3F78" w:rsidRDefault="0069235C" w:rsidP="002A00AF">
      <w:pPr>
        <w:spacing w:before="480"/>
        <w:jc w:val="center"/>
        <w:rPr>
          <w:caps/>
          <w:szCs w:val="32"/>
        </w:rPr>
      </w:pPr>
      <w:r>
        <w:rPr>
          <w:b/>
          <w:sz w:val="32"/>
          <w:szCs w:val="32"/>
        </w:rPr>
        <w:t>Telephely</w:t>
      </w:r>
      <w:r w:rsidR="003A070B" w:rsidRPr="00EE2B46">
        <w:rPr>
          <w:b/>
          <w:sz w:val="32"/>
          <w:szCs w:val="32"/>
        </w:rPr>
        <w:t xml:space="preserve">: </w:t>
      </w:r>
      <w:sdt>
        <w:sdtPr>
          <w:rPr>
            <w:b/>
            <w:sz w:val="32"/>
            <w:szCs w:val="32"/>
          </w:rPr>
          <w:alias w:val="Projekt neve"/>
          <w:tag w:val="Projekt neve"/>
          <w:id w:val="-1186138096"/>
          <w:placeholder>
            <w:docPart w:val="48B7B219E7FE45929428FF60E12F2CF5"/>
          </w:placeholder>
          <w:text/>
        </w:sdtPr>
        <w:sdtContent>
          <w:r w:rsidR="00640B53" w:rsidRPr="00640B53">
            <w:rPr>
              <w:b/>
              <w:sz w:val="32"/>
              <w:szCs w:val="32"/>
            </w:rPr>
            <w:t>5244 Tiszaszőlős, 0244. és 0242/2 hrsz.</w:t>
          </w:r>
        </w:sdtContent>
      </w:sdt>
    </w:p>
    <w:p w14:paraId="0319BFAC" w14:textId="77777777" w:rsidR="002A00AF" w:rsidRPr="000E3F78" w:rsidRDefault="002A00AF">
      <w:pPr>
        <w:spacing w:after="0"/>
        <w:jc w:val="left"/>
        <w:rPr>
          <w:caps/>
          <w:szCs w:val="32"/>
        </w:rPr>
        <w:sectPr w:rsidR="002A00AF" w:rsidRPr="000E3F78" w:rsidSect="00797E67">
          <w:headerReference w:type="default" r:id="rId8"/>
          <w:footerReference w:type="even" r:id="rId9"/>
          <w:footerReference w:type="default" r:id="rId10"/>
          <w:headerReference w:type="first" r:id="rId11"/>
          <w:footerReference w:type="first" r:id="rId12"/>
          <w:pgSz w:w="11906" w:h="16838" w:code="9"/>
          <w:pgMar w:top="1418" w:right="1418" w:bottom="1418" w:left="1418" w:header="709" w:footer="709" w:gutter="0"/>
          <w:cols w:space="708"/>
          <w:titlePg/>
          <w:docGrid w:linePitch="360"/>
        </w:sectPr>
      </w:pPr>
    </w:p>
    <w:bookmarkStart w:id="0" w:name="_Ref15396452"/>
    <w:bookmarkStart w:id="1" w:name="_Ref39820944"/>
    <w:bookmarkStart w:id="2" w:name="_Toc230560263"/>
    <w:p w14:paraId="129EC314" w14:textId="6D635665" w:rsidR="00DC241F" w:rsidRDefault="00C0254C">
      <w:pPr>
        <w:pStyle w:val="TJ1"/>
        <w:rPr>
          <w:rFonts w:asciiTheme="minorHAnsi" w:eastAsiaTheme="minorEastAsia" w:hAnsiTheme="minorHAnsi" w:cstheme="minorBidi"/>
          <w:b w:val="0"/>
          <w:kern w:val="2"/>
          <w:sz w:val="24"/>
          <w14:ligatures w14:val="standardContextual"/>
        </w:rPr>
      </w:pPr>
      <w:r>
        <w:lastRenderedPageBreak/>
        <w:fldChar w:fldCharType="begin"/>
      </w:r>
      <w:r>
        <w:instrText xml:space="preserve"> TOC \o "1-3" \h \z \u </w:instrText>
      </w:r>
      <w:r>
        <w:fldChar w:fldCharType="separate"/>
      </w:r>
      <w:hyperlink w:anchor="_Toc231161025" w:history="1">
        <w:r w:rsidR="00DC241F" w:rsidRPr="002A40CC">
          <w:rPr>
            <w:rStyle w:val="Hiperhivatkozs"/>
          </w:rPr>
          <w:t>1.</w:t>
        </w:r>
        <w:r w:rsidR="00DC241F">
          <w:rPr>
            <w:rFonts w:asciiTheme="minorHAnsi" w:eastAsiaTheme="minorEastAsia" w:hAnsiTheme="minorHAnsi" w:cstheme="minorBidi"/>
            <w:b w:val="0"/>
            <w:kern w:val="2"/>
            <w:sz w:val="24"/>
            <w14:ligatures w14:val="standardContextual"/>
          </w:rPr>
          <w:tab/>
        </w:r>
        <w:r w:rsidR="00DC241F" w:rsidRPr="002A40CC">
          <w:rPr>
            <w:rStyle w:val="Hiperhivatkozs"/>
          </w:rPr>
          <w:t>Előzmények és jogszabályi háttér</w:t>
        </w:r>
        <w:r w:rsidR="00DC241F">
          <w:rPr>
            <w:webHidden/>
          </w:rPr>
          <w:tab/>
        </w:r>
        <w:r w:rsidR="00DC241F">
          <w:rPr>
            <w:webHidden/>
          </w:rPr>
          <w:fldChar w:fldCharType="begin"/>
        </w:r>
        <w:r w:rsidR="00DC241F">
          <w:rPr>
            <w:webHidden/>
          </w:rPr>
          <w:instrText xml:space="preserve"> PAGEREF _Toc231161025 \h </w:instrText>
        </w:r>
        <w:r w:rsidR="00DC241F">
          <w:rPr>
            <w:webHidden/>
          </w:rPr>
        </w:r>
        <w:r w:rsidR="00DC241F">
          <w:rPr>
            <w:webHidden/>
          </w:rPr>
          <w:fldChar w:fldCharType="separate"/>
        </w:r>
        <w:r w:rsidR="00DC241F">
          <w:rPr>
            <w:webHidden/>
          </w:rPr>
          <w:t>3</w:t>
        </w:r>
        <w:r w:rsidR="00DC241F">
          <w:rPr>
            <w:webHidden/>
          </w:rPr>
          <w:fldChar w:fldCharType="end"/>
        </w:r>
      </w:hyperlink>
    </w:p>
    <w:p w14:paraId="6FAE88EA" w14:textId="03DC0F5C" w:rsidR="00DC241F" w:rsidRDefault="00DC241F">
      <w:pPr>
        <w:pStyle w:val="TJ1"/>
        <w:rPr>
          <w:rFonts w:asciiTheme="minorHAnsi" w:eastAsiaTheme="minorEastAsia" w:hAnsiTheme="minorHAnsi" w:cstheme="minorBidi"/>
          <w:b w:val="0"/>
          <w:kern w:val="2"/>
          <w:sz w:val="24"/>
          <w14:ligatures w14:val="standardContextual"/>
        </w:rPr>
      </w:pPr>
      <w:hyperlink w:anchor="_Toc231161026" w:history="1">
        <w:r w:rsidRPr="002A40CC">
          <w:rPr>
            <w:rStyle w:val="Hiperhivatkozs"/>
          </w:rPr>
          <w:t>2.</w:t>
        </w:r>
        <w:r>
          <w:rPr>
            <w:rFonts w:asciiTheme="minorHAnsi" w:eastAsiaTheme="minorEastAsia" w:hAnsiTheme="minorHAnsi" w:cstheme="minorBidi"/>
            <w:b w:val="0"/>
            <w:kern w:val="2"/>
            <w:sz w:val="24"/>
            <w14:ligatures w14:val="standardContextual"/>
          </w:rPr>
          <w:tab/>
        </w:r>
        <w:r w:rsidRPr="002A40CC">
          <w:rPr>
            <w:rStyle w:val="Hiperhivatkozs"/>
          </w:rPr>
          <w:t>A technológia és a bűzkibocsátó források jellemzése</w:t>
        </w:r>
        <w:r>
          <w:rPr>
            <w:webHidden/>
          </w:rPr>
          <w:tab/>
        </w:r>
        <w:r>
          <w:rPr>
            <w:webHidden/>
          </w:rPr>
          <w:fldChar w:fldCharType="begin"/>
        </w:r>
        <w:r>
          <w:rPr>
            <w:webHidden/>
          </w:rPr>
          <w:instrText xml:space="preserve"> PAGEREF _Toc231161026 \h </w:instrText>
        </w:r>
        <w:r>
          <w:rPr>
            <w:webHidden/>
          </w:rPr>
        </w:r>
        <w:r>
          <w:rPr>
            <w:webHidden/>
          </w:rPr>
          <w:fldChar w:fldCharType="separate"/>
        </w:r>
        <w:r>
          <w:rPr>
            <w:webHidden/>
          </w:rPr>
          <w:t>3</w:t>
        </w:r>
        <w:r>
          <w:rPr>
            <w:webHidden/>
          </w:rPr>
          <w:fldChar w:fldCharType="end"/>
        </w:r>
      </w:hyperlink>
    </w:p>
    <w:p w14:paraId="15C7711F" w14:textId="0F175E80"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27" w:history="1">
        <w:r w:rsidRPr="002A40CC">
          <w:rPr>
            <w:rStyle w:val="Hiperhivatkozs"/>
            <w:noProof/>
          </w:rPr>
          <w:t>2.1.</w:t>
        </w:r>
        <w:r>
          <w:rPr>
            <w:rFonts w:asciiTheme="minorHAnsi" w:eastAsiaTheme="minorEastAsia" w:hAnsiTheme="minorHAnsi" w:cstheme="minorBidi"/>
            <w:noProof/>
            <w:kern w:val="2"/>
            <w14:ligatures w14:val="standardContextual"/>
          </w:rPr>
          <w:tab/>
        </w:r>
        <w:r w:rsidRPr="002A40CC">
          <w:rPr>
            <w:rStyle w:val="Hiperhivatkozs"/>
            <w:noProof/>
          </w:rPr>
          <w:t>Állattartási technológia és az istállóépületek mint térfogati diffúz szagforrások</w:t>
        </w:r>
        <w:r>
          <w:rPr>
            <w:noProof/>
            <w:webHidden/>
          </w:rPr>
          <w:tab/>
        </w:r>
        <w:r>
          <w:rPr>
            <w:noProof/>
            <w:webHidden/>
          </w:rPr>
          <w:fldChar w:fldCharType="begin"/>
        </w:r>
        <w:r>
          <w:rPr>
            <w:noProof/>
            <w:webHidden/>
          </w:rPr>
          <w:instrText xml:space="preserve"> PAGEREF _Toc231161027 \h </w:instrText>
        </w:r>
        <w:r>
          <w:rPr>
            <w:noProof/>
            <w:webHidden/>
          </w:rPr>
        </w:r>
        <w:r>
          <w:rPr>
            <w:noProof/>
            <w:webHidden/>
          </w:rPr>
          <w:fldChar w:fldCharType="separate"/>
        </w:r>
        <w:r>
          <w:rPr>
            <w:noProof/>
            <w:webHidden/>
          </w:rPr>
          <w:t>3</w:t>
        </w:r>
        <w:r>
          <w:rPr>
            <w:noProof/>
            <w:webHidden/>
          </w:rPr>
          <w:fldChar w:fldCharType="end"/>
        </w:r>
      </w:hyperlink>
    </w:p>
    <w:p w14:paraId="1F4B6C55" w14:textId="6F89955B"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28" w:history="1">
        <w:r w:rsidRPr="002A40CC">
          <w:rPr>
            <w:rStyle w:val="Hiperhivatkozs"/>
            <w:noProof/>
          </w:rPr>
          <w:t>2.2.</w:t>
        </w:r>
        <w:r>
          <w:rPr>
            <w:rFonts w:asciiTheme="minorHAnsi" w:eastAsiaTheme="minorEastAsia" w:hAnsiTheme="minorHAnsi" w:cstheme="minorBidi"/>
            <w:noProof/>
            <w:kern w:val="2"/>
            <w14:ligatures w14:val="standardContextual"/>
          </w:rPr>
          <w:tab/>
        </w:r>
        <w:r w:rsidRPr="002A40CC">
          <w:rPr>
            <w:rStyle w:val="Hiperhivatkozs"/>
            <w:noProof/>
          </w:rPr>
          <w:t>Belső hígtrágya-kezelés és elvezetés technológiája</w:t>
        </w:r>
        <w:r>
          <w:rPr>
            <w:noProof/>
            <w:webHidden/>
          </w:rPr>
          <w:tab/>
        </w:r>
        <w:r>
          <w:rPr>
            <w:noProof/>
            <w:webHidden/>
          </w:rPr>
          <w:fldChar w:fldCharType="begin"/>
        </w:r>
        <w:r>
          <w:rPr>
            <w:noProof/>
            <w:webHidden/>
          </w:rPr>
          <w:instrText xml:space="preserve"> PAGEREF _Toc231161028 \h </w:instrText>
        </w:r>
        <w:r>
          <w:rPr>
            <w:noProof/>
            <w:webHidden/>
          </w:rPr>
        </w:r>
        <w:r>
          <w:rPr>
            <w:noProof/>
            <w:webHidden/>
          </w:rPr>
          <w:fldChar w:fldCharType="separate"/>
        </w:r>
        <w:r>
          <w:rPr>
            <w:noProof/>
            <w:webHidden/>
          </w:rPr>
          <w:t>4</w:t>
        </w:r>
        <w:r>
          <w:rPr>
            <w:noProof/>
            <w:webHidden/>
          </w:rPr>
          <w:fldChar w:fldCharType="end"/>
        </w:r>
      </w:hyperlink>
    </w:p>
    <w:p w14:paraId="2B87C9F4" w14:textId="38C0B2E1"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29" w:history="1">
        <w:r w:rsidRPr="002A40CC">
          <w:rPr>
            <w:rStyle w:val="Hiperhivatkozs"/>
            <w:noProof/>
          </w:rPr>
          <w:t>2.3.</w:t>
        </w:r>
        <w:r>
          <w:rPr>
            <w:rFonts w:asciiTheme="minorHAnsi" w:eastAsiaTheme="minorEastAsia" w:hAnsiTheme="minorHAnsi" w:cstheme="minorBidi"/>
            <w:noProof/>
            <w:kern w:val="2"/>
            <w14:ligatures w14:val="standardContextual"/>
          </w:rPr>
          <w:tab/>
        </w:r>
        <w:r w:rsidRPr="002A40CC">
          <w:rPr>
            <w:rStyle w:val="Hiperhivatkozs"/>
            <w:noProof/>
          </w:rPr>
          <w:t>Külső hígtrágyatároló műtárgy mint diffúz felületi forrás</w:t>
        </w:r>
        <w:r>
          <w:rPr>
            <w:noProof/>
            <w:webHidden/>
          </w:rPr>
          <w:tab/>
        </w:r>
        <w:r>
          <w:rPr>
            <w:noProof/>
            <w:webHidden/>
          </w:rPr>
          <w:fldChar w:fldCharType="begin"/>
        </w:r>
        <w:r>
          <w:rPr>
            <w:noProof/>
            <w:webHidden/>
          </w:rPr>
          <w:instrText xml:space="preserve"> PAGEREF _Toc231161029 \h </w:instrText>
        </w:r>
        <w:r>
          <w:rPr>
            <w:noProof/>
            <w:webHidden/>
          </w:rPr>
        </w:r>
        <w:r>
          <w:rPr>
            <w:noProof/>
            <w:webHidden/>
          </w:rPr>
          <w:fldChar w:fldCharType="separate"/>
        </w:r>
        <w:r>
          <w:rPr>
            <w:noProof/>
            <w:webHidden/>
          </w:rPr>
          <w:t>4</w:t>
        </w:r>
        <w:r>
          <w:rPr>
            <w:noProof/>
            <w:webHidden/>
          </w:rPr>
          <w:fldChar w:fldCharType="end"/>
        </w:r>
      </w:hyperlink>
    </w:p>
    <w:p w14:paraId="135B5DA6" w14:textId="0307A870"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30" w:history="1">
        <w:r w:rsidRPr="002A40CC">
          <w:rPr>
            <w:rStyle w:val="Hiperhivatkozs"/>
            <w:noProof/>
          </w:rPr>
          <w:t>2.4.</w:t>
        </w:r>
        <w:r>
          <w:rPr>
            <w:rFonts w:asciiTheme="minorHAnsi" w:eastAsiaTheme="minorEastAsia" w:hAnsiTheme="minorHAnsi" w:cstheme="minorBidi"/>
            <w:noProof/>
            <w:kern w:val="2"/>
            <w14:ligatures w14:val="standardContextual"/>
          </w:rPr>
          <w:tab/>
        </w:r>
        <w:r w:rsidRPr="002A40CC">
          <w:rPr>
            <w:rStyle w:val="Hiperhivatkozs"/>
            <w:noProof/>
          </w:rPr>
          <w:t>Integrált forrásoldali szagcsökkentés: BioAmp 300 és FreeFlow™ technológia</w:t>
        </w:r>
        <w:r>
          <w:rPr>
            <w:noProof/>
            <w:webHidden/>
          </w:rPr>
          <w:tab/>
        </w:r>
        <w:r>
          <w:rPr>
            <w:noProof/>
            <w:webHidden/>
          </w:rPr>
          <w:fldChar w:fldCharType="begin"/>
        </w:r>
        <w:r>
          <w:rPr>
            <w:noProof/>
            <w:webHidden/>
          </w:rPr>
          <w:instrText xml:space="preserve"> PAGEREF _Toc231161030 \h </w:instrText>
        </w:r>
        <w:r>
          <w:rPr>
            <w:noProof/>
            <w:webHidden/>
          </w:rPr>
        </w:r>
        <w:r>
          <w:rPr>
            <w:noProof/>
            <w:webHidden/>
          </w:rPr>
          <w:fldChar w:fldCharType="separate"/>
        </w:r>
        <w:r>
          <w:rPr>
            <w:noProof/>
            <w:webHidden/>
          </w:rPr>
          <w:t>5</w:t>
        </w:r>
        <w:r>
          <w:rPr>
            <w:noProof/>
            <w:webHidden/>
          </w:rPr>
          <w:fldChar w:fldCharType="end"/>
        </w:r>
      </w:hyperlink>
    </w:p>
    <w:p w14:paraId="33247223" w14:textId="32D20CBD"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31" w:history="1">
        <w:r w:rsidRPr="002A40CC">
          <w:rPr>
            <w:rStyle w:val="Hiperhivatkozs"/>
            <w:noProof/>
          </w:rPr>
          <w:t>2.5.</w:t>
        </w:r>
        <w:r>
          <w:rPr>
            <w:rFonts w:asciiTheme="minorHAnsi" w:eastAsiaTheme="minorEastAsia" w:hAnsiTheme="minorHAnsi" w:cstheme="minorBidi"/>
            <w:noProof/>
            <w:kern w:val="2"/>
            <w14:ligatures w14:val="standardContextual"/>
          </w:rPr>
          <w:tab/>
        </w:r>
        <w:r w:rsidRPr="002A40CC">
          <w:rPr>
            <w:rStyle w:val="Hiperhivatkozs"/>
            <w:noProof/>
          </w:rPr>
          <w:t>Egyéb lehetséges technológiai és technológiához kapcsolódó ellenőrzött bűzforrások</w:t>
        </w:r>
        <w:r>
          <w:rPr>
            <w:noProof/>
            <w:webHidden/>
          </w:rPr>
          <w:tab/>
        </w:r>
        <w:r>
          <w:rPr>
            <w:noProof/>
            <w:webHidden/>
          </w:rPr>
          <w:fldChar w:fldCharType="begin"/>
        </w:r>
        <w:r>
          <w:rPr>
            <w:noProof/>
            <w:webHidden/>
          </w:rPr>
          <w:instrText xml:space="preserve"> PAGEREF _Toc231161031 \h </w:instrText>
        </w:r>
        <w:r>
          <w:rPr>
            <w:noProof/>
            <w:webHidden/>
          </w:rPr>
        </w:r>
        <w:r>
          <w:rPr>
            <w:noProof/>
            <w:webHidden/>
          </w:rPr>
          <w:fldChar w:fldCharType="separate"/>
        </w:r>
        <w:r>
          <w:rPr>
            <w:noProof/>
            <w:webHidden/>
          </w:rPr>
          <w:t>5</w:t>
        </w:r>
        <w:r>
          <w:rPr>
            <w:noProof/>
            <w:webHidden/>
          </w:rPr>
          <w:fldChar w:fldCharType="end"/>
        </w:r>
      </w:hyperlink>
    </w:p>
    <w:p w14:paraId="183B7179" w14:textId="0192BD20" w:rsidR="00DC241F" w:rsidRDefault="00DC241F">
      <w:pPr>
        <w:pStyle w:val="TJ1"/>
        <w:rPr>
          <w:rFonts w:asciiTheme="minorHAnsi" w:eastAsiaTheme="minorEastAsia" w:hAnsiTheme="minorHAnsi" w:cstheme="minorBidi"/>
          <w:b w:val="0"/>
          <w:kern w:val="2"/>
          <w:sz w:val="24"/>
          <w14:ligatures w14:val="standardContextual"/>
        </w:rPr>
      </w:pPr>
      <w:hyperlink w:anchor="_Toc231161032" w:history="1">
        <w:r w:rsidRPr="002A40CC">
          <w:rPr>
            <w:rStyle w:val="Hiperhivatkozs"/>
          </w:rPr>
          <w:t>3.</w:t>
        </w:r>
        <w:r>
          <w:rPr>
            <w:rFonts w:asciiTheme="minorHAnsi" w:eastAsiaTheme="minorEastAsia" w:hAnsiTheme="minorHAnsi" w:cstheme="minorBidi"/>
            <w:b w:val="0"/>
            <w:kern w:val="2"/>
            <w:sz w:val="24"/>
            <w14:ligatures w14:val="standardContextual"/>
          </w:rPr>
          <w:tab/>
        </w:r>
        <w:r w:rsidRPr="002A40CC">
          <w:rPr>
            <w:rStyle w:val="Hiperhivatkozs"/>
          </w:rPr>
          <w:t>Fajlagos és összesített szagkibocsátás (Forráserősség) számításának módszertana és jogszabályi megfelelősége</w:t>
        </w:r>
        <w:r>
          <w:rPr>
            <w:webHidden/>
          </w:rPr>
          <w:tab/>
        </w:r>
        <w:r>
          <w:rPr>
            <w:webHidden/>
          </w:rPr>
          <w:fldChar w:fldCharType="begin"/>
        </w:r>
        <w:r>
          <w:rPr>
            <w:webHidden/>
          </w:rPr>
          <w:instrText xml:space="preserve"> PAGEREF _Toc231161032 \h </w:instrText>
        </w:r>
        <w:r>
          <w:rPr>
            <w:webHidden/>
          </w:rPr>
        </w:r>
        <w:r>
          <w:rPr>
            <w:webHidden/>
          </w:rPr>
          <w:fldChar w:fldCharType="separate"/>
        </w:r>
        <w:r>
          <w:rPr>
            <w:webHidden/>
          </w:rPr>
          <w:t>6</w:t>
        </w:r>
        <w:r>
          <w:rPr>
            <w:webHidden/>
          </w:rPr>
          <w:fldChar w:fldCharType="end"/>
        </w:r>
      </w:hyperlink>
    </w:p>
    <w:p w14:paraId="3B7CF0BF" w14:textId="20442541"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33" w:history="1">
        <w:r w:rsidRPr="002A40CC">
          <w:rPr>
            <w:rStyle w:val="Hiperhivatkozs"/>
            <w:noProof/>
          </w:rPr>
          <w:t>3.1.</w:t>
        </w:r>
        <w:r>
          <w:rPr>
            <w:rFonts w:asciiTheme="minorHAnsi" w:eastAsiaTheme="minorEastAsia" w:hAnsiTheme="minorHAnsi" w:cstheme="minorBidi"/>
            <w:noProof/>
            <w:kern w:val="2"/>
            <w14:ligatures w14:val="standardContextual"/>
          </w:rPr>
          <w:tab/>
        </w:r>
        <w:r w:rsidRPr="002A40CC">
          <w:rPr>
            <w:rStyle w:val="Hiperhivatkozs"/>
            <w:noProof/>
          </w:rPr>
          <w:t>A jogszabályi és szakmai módszertan megfelelőségi ellenőrzése</w:t>
        </w:r>
        <w:r>
          <w:rPr>
            <w:noProof/>
            <w:webHidden/>
          </w:rPr>
          <w:tab/>
        </w:r>
        <w:r>
          <w:rPr>
            <w:noProof/>
            <w:webHidden/>
          </w:rPr>
          <w:fldChar w:fldCharType="begin"/>
        </w:r>
        <w:r>
          <w:rPr>
            <w:noProof/>
            <w:webHidden/>
          </w:rPr>
          <w:instrText xml:space="preserve"> PAGEREF _Toc231161033 \h </w:instrText>
        </w:r>
        <w:r>
          <w:rPr>
            <w:noProof/>
            <w:webHidden/>
          </w:rPr>
        </w:r>
        <w:r>
          <w:rPr>
            <w:noProof/>
            <w:webHidden/>
          </w:rPr>
          <w:fldChar w:fldCharType="separate"/>
        </w:r>
        <w:r>
          <w:rPr>
            <w:noProof/>
            <w:webHidden/>
          </w:rPr>
          <w:t>6</w:t>
        </w:r>
        <w:r>
          <w:rPr>
            <w:noProof/>
            <w:webHidden/>
          </w:rPr>
          <w:fldChar w:fldCharType="end"/>
        </w:r>
      </w:hyperlink>
    </w:p>
    <w:p w14:paraId="432C954C" w14:textId="0B6FA8C0" w:rsidR="00DC241F" w:rsidRDefault="00DC241F">
      <w:pPr>
        <w:pStyle w:val="TJ3"/>
        <w:tabs>
          <w:tab w:val="left" w:pos="1320"/>
          <w:tab w:val="right" w:leader="dot" w:pos="9060"/>
        </w:tabs>
        <w:rPr>
          <w:rFonts w:asciiTheme="minorHAnsi" w:eastAsiaTheme="minorEastAsia" w:hAnsiTheme="minorHAnsi" w:cstheme="minorBidi"/>
          <w:noProof/>
          <w:kern w:val="2"/>
          <w14:ligatures w14:val="standardContextual"/>
        </w:rPr>
      </w:pPr>
      <w:hyperlink w:anchor="_Toc231161034" w:history="1">
        <w:r w:rsidRPr="002A40CC">
          <w:rPr>
            <w:rStyle w:val="Hiperhivatkozs"/>
            <w:noProof/>
          </w:rPr>
          <w:t>3.1.1.</w:t>
        </w:r>
        <w:r>
          <w:rPr>
            <w:rFonts w:asciiTheme="minorHAnsi" w:eastAsiaTheme="minorEastAsia" w:hAnsiTheme="minorHAnsi" w:cstheme="minorBidi"/>
            <w:noProof/>
            <w:kern w:val="2"/>
            <w14:ligatures w14:val="standardContextual"/>
          </w:rPr>
          <w:tab/>
        </w:r>
        <w:r w:rsidRPr="002A40CC">
          <w:rPr>
            <w:rStyle w:val="Hiperhivatkozs"/>
            <w:noProof/>
          </w:rPr>
          <w:t>Jogi megfelelőség a tervezési irányértékek tekintetében</w:t>
        </w:r>
        <w:r>
          <w:rPr>
            <w:noProof/>
            <w:webHidden/>
          </w:rPr>
          <w:tab/>
        </w:r>
        <w:r>
          <w:rPr>
            <w:noProof/>
            <w:webHidden/>
          </w:rPr>
          <w:fldChar w:fldCharType="begin"/>
        </w:r>
        <w:r>
          <w:rPr>
            <w:noProof/>
            <w:webHidden/>
          </w:rPr>
          <w:instrText xml:space="preserve"> PAGEREF _Toc231161034 \h </w:instrText>
        </w:r>
        <w:r>
          <w:rPr>
            <w:noProof/>
            <w:webHidden/>
          </w:rPr>
        </w:r>
        <w:r>
          <w:rPr>
            <w:noProof/>
            <w:webHidden/>
          </w:rPr>
          <w:fldChar w:fldCharType="separate"/>
        </w:r>
        <w:r>
          <w:rPr>
            <w:noProof/>
            <w:webHidden/>
          </w:rPr>
          <w:t>6</w:t>
        </w:r>
        <w:r>
          <w:rPr>
            <w:noProof/>
            <w:webHidden/>
          </w:rPr>
          <w:fldChar w:fldCharType="end"/>
        </w:r>
      </w:hyperlink>
    </w:p>
    <w:p w14:paraId="20684A25" w14:textId="61487154" w:rsidR="00DC241F" w:rsidRDefault="00DC241F">
      <w:pPr>
        <w:pStyle w:val="TJ3"/>
        <w:tabs>
          <w:tab w:val="left" w:pos="1320"/>
          <w:tab w:val="right" w:leader="dot" w:pos="9060"/>
        </w:tabs>
        <w:rPr>
          <w:rFonts w:asciiTheme="minorHAnsi" w:eastAsiaTheme="minorEastAsia" w:hAnsiTheme="minorHAnsi" w:cstheme="minorBidi"/>
          <w:noProof/>
          <w:kern w:val="2"/>
          <w14:ligatures w14:val="standardContextual"/>
        </w:rPr>
      </w:pPr>
      <w:hyperlink w:anchor="_Toc231161035" w:history="1">
        <w:r w:rsidRPr="002A40CC">
          <w:rPr>
            <w:rStyle w:val="Hiperhivatkozs"/>
            <w:noProof/>
          </w:rPr>
          <w:t>3.1.2.</w:t>
        </w:r>
        <w:r>
          <w:rPr>
            <w:rFonts w:asciiTheme="minorHAnsi" w:eastAsiaTheme="minorEastAsia" w:hAnsiTheme="minorHAnsi" w:cstheme="minorBidi"/>
            <w:noProof/>
            <w:kern w:val="2"/>
            <w14:ligatures w14:val="standardContextual"/>
          </w:rPr>
          <w:tab/>
        </w:r>
        <w:r w:rsidRPr="002A40CC">
          <w:rPr>
            <w:rStyle w:val="Hiperhivatkozs"/>
            <w:noProof/>
          </w:rPr>
          <w:t>Szakmai megfelelőség a modellezési szabványok tekintetében</w:t>
        </w:r>
        <w:r>
          <w:rPr>
            <w:noProof/>
            <w:webHidden/>
          </w:rPr>
          <w:tab/>
        </w:r>
        <w:r>
          <w:rPr>
            <w:noProof/>
            <w:webHidden/>
          </w:rPr>
          <w:fldChar w:fldCharType="begin"/>
        </w:r>
        <w:r>
          <w:rPr>
            <w:noProof/>
            <w:webHidden/>
          </w:rPr>
          <w:instrText xml:space="preserve"> PAGEREF _Toc231161035 \h </w:instrText>
        </w:r>
        <w:r>
          <w:rPr>
            <w:noProof/>
            <w:webHidden/>
          </w:rPr>
        </w:r>
        <w:r>
          <w:rPr>
            <w:noProof/>
            <w:webHidden/>
          </w:rPr>
          <w:fldChar w:fldCharType="separate"/>
        </w:r>
        <w:r>
          <w:rPr>
            <w:noProof/>
            <w:webHidden/>
          </w:rPr>
          <w:t>7</w:t>
        </w:r>
        <w:r>
          <w:rPr>
            <w:noProof/>
            <w:webHidden/>
          </w:rPr>
          <w:fldChar w:fldCharType="end"/>
        </w:r>
      </w:hyperlink>
    </w:p>
    <w:p w14:paraId="5BF1367F" w14:textId="69B57628" w:rsidR="00DC241F" w:rsidRDefault="00DC241F">
      <w:pPr>
        <w:pStyle w:val="TJ3"/>
        <w:tabs>
          <w:tab w:val="left" w:pos="1320"/>
          <w:tab w:val="right" w:leader="dot" w:pos="9060"/>
        </w:tabs>
        <w:rPr>
          <w:rFonts w:asciiTheme="minorHAnsi" w:eastAsiaTheme="minorEastAsia" w:hAnsiTheme="minorHAnsi" w:cstheme="minorBidi"/>
          <w:noProof/>
          <w:kern w:val="2"/>
          <w14:ligatures w14:val="standardContextual"/>
        </w:rPr>
      </w:pPr>
      <w:hyperlink w:anchor="_Toc231161036" w:history="1">
        <w:r w:rsidRPr="002A40CC">
          <w:rPr>
            <w:rStyle w:val="Hiperhivatkozs"/>
            <w:noProof/>
          </w:rPr>
          <w:t>3.1.3.</w:t>
        </w:r>
        <w:r>
          <w:rPr>
            <w:rFonts w:asciiTheme="minorHAnsi" w:eastAsiaTheme="minorEastAsia" w:hAnsiTheme="minorHAnsi" w:cstheme="minorBidi"/>
            <w:noProof/>
            <w:kern w:val="2"/>
            <w14:ligatures w14:val="standardContextual"/>
          </w:rPr>
          <w:tab/>
        </w:r>
        <w:r w:rsidRPr="002A40CC">
          <w:rPr>
            <w:rStyle w:val="Hiperhivatkozs"/>
            <w:noProof/>
          </w:rPr>
          <w:t>Az Elérhető Legjobb Technikák (BAT) és a mikrobiológiai mitigáció elve</w:t>
        </w:r>
        <w:r>
          <w:rPr>
            <w:noProof/>
            <w:webHidden/>
          </w:rPr>
          <w:tab/>
        </w:r>
        <w:r>
          <w:rPr>
            <w:noProof/>
            <w:webHidden/>
          </w:rPr>
          <w:fldChar w:fldCharType="begin"/>
        </w:r>
        <w:r>
          <w:rPr>
            <w:noProof/>
            <w:webHidden/>
          </w:rPr>
          <w:instrText xml:space="preserve"> PAGEREF _Toc231161036 \h </w:instrText>
        </w:r>
        <w:r>
          <w:rPr>
            <w:noProof/>
            <w:webHidden/>
          </w:rPr>
        </w:r>
        <w:r>
          <w:rPr>
            <w:noProof/>
            <w:webHidden/>
          </w:rPr>
          <w:fldChar w:fldCharType="separate"/>
        </w:r>
        <w:r>
          <w:rPr>
            <w:noProof/>
            <w:webHidden/>
          </w:rPr>
          <w:t>7</w:t>
        </w:r>
        <w:r>
          <w:rPr>
            <w:noProof/>
            <w:webHidden/>
          </w:rPr>
          <w:fldChar w:fldCharType="end"/>
        </w:r>
      </w:hyperlink>
    </w:p>
    <w:p w14:paraId="4FC483CC" w14:textId="3F47A46D"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37" w:history="1">
        <w:r w:rsidRPr="002A40CC">
          <w:rPr>
            <w:rStyle w:val="Hiperhivatkozs"/>
            <w:noProof/>
          </w:rPr>
          <w:t>3.2.</w:t>
        </w:r>
        <w:r>
          <w:rPr>
            <w:rFonts w:asciiTheme="minorHAnsi" w:eastAsiaTheme="minorEastAsia" w:hAnsiTheme="minorHAnsi" w:cstheme="minorBidi"/>
            <w:noProof/>
            <w:kern w:val="2"/>
            <w14:ligatures w14:val="standardContextual"/>
          </w:rPr>
          <w:tab/>
        </w:r>
        <w:r w:rsidRPr="002A40CC">
          <w:rPr>
            <w:rStyle w:val="Hiperhivatkozs"/>
            <w:noProof/>
          </w:rPr>
          <w:t>Az állatállomány átszámítása Állategységre (ÁE)</w:t>
        </w:r>
        <w:r>
          <w:rPr>
            <w:noProof/>
            <w:webHidden/>
          </w:rPr>
          <w:tab/>
        </w:r>
        <w:r>
          <w:rPr>
            <w:noProof/>
            <w:webHidden/>
          </w:rPr>
          <w:fldChar w:fldCharType="begin"/>
        </w:r>
        <w:r>
          <w:rPr>
            <w:noProof/>
            <w:webHidden/>
          </w:rPr>
          <w:instrText xml:space="preserve"> PAGEREF _Toc231161037 \h </w:instrText>
        </w:r>
        <w:r>
          <w:rPr>
            <w:noProof/>
            <w:webHidden/>
          </w:rPr>
        </w:r>
        <w:r>
          <w:rPr>
            <w:noProof/>
            <w:webHidden/>
          </w:rPr>
          <w:fldChar w:fldCharType="separate"/>
        </w:r>
        <w:r>
          <w:rPr>
            <w:noProof/>
            <w:webHidden/>
          </w:rPr>
          <w:t>7</w:t>
        </w:r>
        <w:r>
          <w:rPr>
            <w:noProof/>
            <w:webHidden/>
          </w:rPr>
          <w:fldChar w:fldCharType="end"/>
        </w:r>
      </w:hyperlink>
    </w:p>
    <w:p w14:paraId="410104E6" w14:textId="366A8F5D"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38" w:history="1">
        <w:r w:rsidRPr="002A40CC">
          <w:rPr>
            <w:rStyle w:val="Hiperhivatkozs"/>
            <w:noProof/>
          </w:rPr>
          <w:t>3.3.</w:t>
        </w:r>
        <w:r>
          <w:rPr>
            <w:rFonts w:asciiTheme="minorHAnsi" w:eastAsiaTheme="minorEastAsia" w:hAnsiTheme="minorHAnsi" w:cstheme="minorBidi"/>
            <w:noProof/>
            <w:kern w:val="2"/>
            <w14:ligatures w14:val="standardContextual"/>
          </w:rPr>
          <w:tab/>
        </w:r>
        <w:r w:rsidRPr="002A40CC">
          <w:rPr>
            <w:rStyle w:val="Hiperhivatkozs"/>
            <w:noProof/>
          </w:rPr>
          <w:t>A kiindulási alapérték és a BioAmp™ kibocsátás-csökkentés levezetése - állattartás</w:t>
        </w:r>
        <w:r>
          <w:rPr>
            <w:noProof/>
            <w:webHidden/>
          </w:rPr>
          <w:tab/>
        </w:r>
        <w:r>
          <w:rPr>
            <w:noProof/>
            <w:webHidden/>
          </w:rPr>
          <w:fldChar w:fldCharType="begin"/>
        </w:r>
        <w:r>
          <w:rPr>
            <w:noProof/>
            <w:webHidden/>
          </w:rPr>
          <w:instrText xml:space="preserve"> PAGEREF _Toc231161038 \h </w:instrText>
        </w:r>
        <w:r>
          <w:rPr>
            <w:noProof/>
            <w:webHidden/>
          </w:rPr>
        </w:r>
        <w:r>
          <w:rPr>
            <w:noProof/>
            <w:webHidden/>
          </w:rPr>
          <w:fldChar w:fldCharType="separate"/>
        </w:r>
        <w:r>
          <w:rPr>
            <w:noProof/>
            <w:webHidden/>
          </w:rPr>
          <w:t>8</w:t>
        </w:r>
        <w:r>
          <w:rPr>
            <w:noProof/>
            <w:webHidden/>
          </w:rPr>
          <w:fldChar w:fldCharType="end"/>
        </w:r>
      </w:hyperlink>
    </w:p>
    <w:p w14:paraId="5F25B296" w14:textId="036EDDC0"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39" w:history="1">
        <w:r w:rsidRPr="002A40CC">
          <w:rPr>
            <w:rStyle w:val="Hiperhivatkozs"/>
            <w:noProof/>
          </w:rPr>
          <w:t>3.4.</w:t>
        </w:r>
        <w:r>
          <w:rPr>
            <w:rFonts w:asciiTheme="minorHAnsi" w:eastAsiaTheme="minorEastAsia" w:hAnsiTheme="minorHAnsi" w:cstheme="minorBidi"/>
            <w:noProof/>
            <w:kern w:val="2"/>
            <w14:ligatures w14:val="standardContextual"/>
          </w:rPr>
          <w:tab/>
        </w:r>
        <w:r w:rsidRPr="002A40CC">
          <w:rPr>
            <w:rStyle w:val="Hiperhivatkozs"/>
            <w:noProof/>
          </w:rPr>
          <w:t>A kiindulási alapérték és a BioAmp™ kibocsátás-csökkentés levezetése – hígtrágya tárolás</w:t>
        </w:r>
        <w:r>
          <w:rPr>
            <w:noProof/>
            <w:webHidden/>
          </w:rPr>
          <w:tab/>
        </w:r>
        <w:r>
          <w:rPr>
            <w:noProof/>
            <w:webHidden/>
          </w:rPr>
          <w:fldChar w:fldCharType="begin"/>
        </w:r>
        <w:r>
          <w:rPr>
            <w:noProof/>
            <w:webHidden/>
          </w:rPr>
          <w:instrText xml:space="preserve"> PAGEREF _Toc231161039 \h </w:instrText>
        </w:r>
        <w:r>
          <w:rPr>
            <w:noProof/>
            <w:webHidden/>
          </w:rPr>
        </w:r>
        <w:r>
          <w:rPr>
            <w:noProof/>
            <w:webHidden/>
          </w:rPr>
          <w:fldChar w:fldCharType="separate"/>
        </w:r>
        <w:r>
          <w:rPr>
            <w:noProof/>
            <w:webHidden/>
          </w:rPr>
          <w:t>8</w:t>
        </w:r>
        <w:r>
          <w:rPr>
            <w:noProof/>
            <w:webHidden/>
          </w:rPr>
          <w:fldChar w:fldCharType="end"/>
        </w:r>
      </w:hyperlink>
    </w:p>
    <w:p w14:paraId="444105D3" w14:textId="0EE98167"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0" w:history="1">
        <w:r w:rsidRPr="002A40CC">
          <w:rPr>
            <w:rStyle w:val="Hiperhivatkozs"/>
            <w:noProof/>
          </w:rPr>
          <w:t>3.5.</w:t>
        </w:r>
        <w:r>
          <w:rPr>
            <w:rFonts w:asciiTheme="minorHAnsi" w:eastAsiaTheme="minorEastAsia" w:hAnsiTheme="minorHAnsi" w:cstheme="minorBidi"/>
            <w:noProof/>
            <w:kern w:val="2"/>
            <w14:ligatures w14:val="standardContextual"/>
          </w:rPr>
          <w:tab/>
        </w:r>
        <w:r w:rsidRPr="002A40CC">
          <w:rPr>
            <w:rStyle w:val="Hiperhivatkozs"/>
            <w:noProof/>
          </w:rPr>
          <w:t>Az állattartó istállók és a külső hígtrágyatároló egyesített (összesített) telephelyi szagkibocsátásának meghatározása</w:t>
        </w:r>
        <w:r>
          <w:rPr>
            <w:noProof/>
            <w:webHidden/>
          </w:rPr>
          <w:tab/>
        </w:r>
        <w:r>
          <w:rPr>
            <w:noProof/>
            <w:webHidden/>
          </w:rPr>
          <w:fldChar w:fldCharType="begin"/>
        </w:r>
        <w:r>
          <w:rPr>
            <w:noProof/>
            <w:webHidden/>
          </w:rPr>
          <w:instrText xml:space="preserve"> PAGEREF _Toc231161040 \h </w:instrText>
        </w:r>
        <w:r>
          <w:rPr>
            <w:noProof/>
            <w:webHidden/>
          </w:rPr>
        </w:r>
        <w:r>
          <w:rPr>
            <w:noProof/>
            <w:webHidden/>
          </w:rPr>
          <w:fldChar w:fldCharType="separate"/>
        </w:r>
        <w:r>
          <w:rPr>
            <w:noProof/>
            <w:webHidden/>
          </w:rPr>
          <w:t>10</w:t>
        </w:r>
        <w:r>
          <w:rPr>
            <w:noProof/>
            <w:webHidden/>
          </w:rPr>
          <w:fldChar w:fldCharType="end"/>
        </w:r>
      </w:hyperlink>
    </w:p>
    <w:p w14:paraId="0D89479F" w14:textId="79320F6E" w:rsidR="00DC241F" w:rsidRDefault="00DC241F">
      <w:pPr>
        <w:pStyle w:val="TJ1"/>
        <w:rPr>
          <w:rFonts w:asciiTheme="minorHAnsi" w:eastAsiaTheme="minorEastAsia" w:hAnsiTheme="minorHAnsi" w:cstheme="minorBidi"/>
          <w:b w:val="0"/>
          <w:kern w:val="2"/>
          <w:sz w:val="24"/>
          <w14:ligatures w14:val="standardContextual"/>
        </w:rPr>
      </w:pPr>
      <w:hyperlink w:anchor="_Toc231161041" w:history="1">
        <w:r w:rsidRPr="002A40CC">
          <w:rPr>
            <w:rStyle w:val="Hiperhivatkozs"/>
          </w:rPr>
          <w:t>4.</w:t>
        </w:r>
        <w:r>
          <w:rPr>
            <w:rFonts w:asciiTheme="minorHAnsi" w:eastAsiaTheme="minorEastAsia" w:hAnsiTheme="minorHAnsi" w:cstheme="minorBidi"/>
            <w:b w:val="0"/>
            <w:kern w:val="2"/>
            <w:sz w:val="24"/>
            <w14:ligatures w14:val="standardContextual"/>
          </w:rPr>
          <w:tab/>
        </w:r>
        <w:r w:rsidRPr="002A40CC">
          <w:rPr>
            <w:rStyle w:val="Hiperhivatkozs"/>
          </w:rPr>
          <w:t>Szagterjedési modellezés a Hatástávolság 8.0.0.12 szakértői programmal</w:t>
        </w:r>
        <w:r>
          <w:rPr>
            <w:webHidden/>
          </w:rPr>
          <w:tab/>
        </w:r>
        <w:r>
          <w:rPr>
            <w:webHidden/>
          </w:rPr>
          <w:fldChar w:fldCharType="begin"/>
        </w:r>
        <w:r>
          <w:rPr>
            <w:webHidden/>
          </w:rPr>
          <w:instrText xml:space="preserve"> PAGEREF _Toc231161041 \h </w:instrText>
        </w:r>
        <w:r>
          <w:rPr>
            <w:webHidden/>
          </w:rPr>
        </w:r>
        <w:r>
          <w:rPr>
            <w:webHidden/>
          </w:rPr>
          <w:fldChar w:fldCharType="separate"/>
        </w:r>
        <w:r>
          <w:rPr>
            <w:webHidden/>
          </w:rPr>
          <w:t>10</w:t>
        </w:r>
        <w:r>
          <w:rPr>
            <w:webHidden/>
          </w:rPr>
          <w:fldChar w:fldCharType="end"/>
        </w:r>
      </w:hyperlink>
    </w:p>
    <w:p w14:paraId="668D5BAD" w14:textId="2335F425"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2" w:history="1">
        <w:r w:rsidRPr="002A40CC">
          <w:rPr>
            <w:rStyle w:val="Hiperhivatkozs"/>
            <w:noProof/>
          </w:rPr>
          <w:t>4.1.</w:t>
        </w:r>
        <w:r>
          <w:rPr>
            <w:rFonts w:asciiTheme="minorHAnsi" w:eastAsiaTheme="minorEastAsia" w:hAnsiTheme="minorHAnsi" w:cstheme="minorBidi"/>
            <w:noProof/>
            <w:kern w:val="2"/>
            <w14:ligatures w14:val="standardContextual"/>
          </w:rPr>
          <w:tab/>
        </w:r>
        <w:r w:rsidRPr="002A40CC">
          <w:rPr>
            <w:rStyle w:val="Hiperhivatkozs"/>
            <w:noProof/>
          </w:rPr>
          <w:t>A terjedési modell matematikai alapjai</w:t>
        </w:r>
        <w:r>
          <w:rPr>
            <w:noProof/>
            <w:webHidden/>
          </w:rPr>
          <w:tab/>
        </w:r>
        <w:r>
          <w:rPr>
            <w:noProof/>
            <w:webHidden/>
          </w:rPr>
          <w:fldChar w:fldCharType="begin"/>
        </w:r>
        <w:r>
          <w:rPr>
            <w:noProof/>
            <w:webHidden/>
          </w:rPr>
          <w:instrText xml:space="preserve"> PAGEREF _Toc231161042 \h </w:instrText>
        </w:r>
        <w:r>
          <w:rPr>
            <w:noProof/>
            <w:webHidden/>
          </w:rPr>
        </w:r>
        <w:r>
          <w:rPr>
            <w:noProof/>
            <w:webHidden/>
          </w:rPr>
          <w:fldChar w:fldCharType="separate"/>
        </w:r>
        <w:r>
          <w:rPr>
            <w:noProof/>
            <w:webHidden/>
          </w:rPr>
          <w:t>10</w:t>
        </w:r>
        <w:r>
          <w:rPr>
            <w:noProof/>
            <w:webHidden/>
          </w:rPr>
          <w:fldChar w:fldCharType="end"/>
        </w:r>
      </w:hyperlink>
    </w:p>
    <w:p w14:paraId="5802EF89" w14:textId="30031AD3"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3" w:history="1">
        <w:r w:rsidRPr="002A40CC">
          <w:rPr>
            <w:rStyle w:val="Hiperhivatkozs"/>
            <w:noProof/>
          </w:rPr>
          <w:t>4.2.</w:t>
        </w:r>
        <w:r>
          <w:rPr>
            <w:rFonts w:asciiTheme="minorHAnsi" w:eastAsiaTheme="minorEastAsia" w:hAnsiTheme="minorHAnsi" w:cstheme="minorBidi"/>
            <w:noProof/>
            <w:kern w:val="2"/>
            <w14:ligatures w14:val="standardContextual"/>
          </w:rPr>
          <w:tab/>
        </w:r>
        <w:r w:rsidRPr="002A40CC">
          <w:rPr>
            <w:rStyle w:val="Hiperhivatkozs"/>
            <w:noProof/>
          </w:rPr>
          <w:t>Bűzszámítás</w:t>
        </w:r>
        <w:r>
          <w:rPr>
            <w:noProof/>
            <w:webHidden/>
          </w:rPr>
          <w:tab/>
        </w:r>
        <w:r>
          <w:rPr>
            <w:noProof/>
            <w:webHidden/>
          </w:rPr>
          <w:fldChar w:fldCharType="begin"/>
        </w:r>
        <w:r>
          <w:rPr>
            <w:noProof/>
            <w:webHidden/>
          </w:rPr>
          <w:instrText xml:space="preserve"> PAGEREF _Toc231161043 \h </w:instrText>
        </w:r>
        <w:r>
          <w:rPr>
            <w:noProof/>
            <w:webHidden/>
          </w:rPr>
        </w:r>
        <w:r>
          <w:rPr>
            <w:noProof/>
            <w:webHidden/>
          </w:rPr>
          <w:fldChar w:fldCharType="separate"/>
        </w:r>
        <w:r>
          <w:rPr>
            <w:noProof/>
            <w:webHidden/>
          </w:rPr>
          <w:t>10</w:t>
        </w:r>
        <w:r>
          <w:rPr>
            <w:noProof/>
            <w:webHidden/>
          </w:rPr>
          <w:fldChar w:fldCharType="end"/>
        </w:r>
      </w:hyperlink>
    </w:p>
    <w:p w14:paraId="03AC45FF" w14:textId="744EB13F"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4" w:history="1">
        <w:r w:rsidRPr="002A40CC">
          <w:rPr>
            <w:rStyle w:val="Hiperhivatkozs"/>
            <w:noProof/>
          </w:rPr>
          <w:t>4.3.</w:t>
        </w:r>
        <w:r>
          <w:rPr>
            <w:rFonts w:asciiTheme="minorHAnsi" w:eastAsiaTheme="minorEastAsia" w:hAnsiTheme="minorHAnsi" w:cstheme="minorBidi"/>
            <w:noProof/>
            <w:kern w:val="2"/>
            <w14:ligatures w14:val="standardContextual"/>
          </w:rPr>
          <w:tab/>
        </w:r>
        <w:r w:rsidRPr="002A40CC">
          <w:rPr>
            <w:rStyle w:val="Hiperhivatkozs"/>
            <w:noProof/>
          </w:rPr>
          <w:t>Számítási eredmények és védőtávolságok</w:t>
        </w:r>
        <w:r>
          <w:rPr>
            <w:noProof/>
            <w:webHidden/>
          </w:rPr>
          <w:tab/>
        </w:r>
        <w:r>
          <w:rPr>
            <w:noProof/>
            <w:webHidden/>
          </w:rPr>
          <w:fldChar w:fldCharType="begin"/>
        </w:r>
        <w:r>
          <w:rPr>
            <w:noProof/>
            <w:webHidden/>
          </w:rPr>
          <w:instrText xml:space="preserve"> PAGEREF _Toc231161044 \h </w:instrText>
        </w:r>
        <w:r>
          <w:rPr>
            <w:noProof/>
            <w:webHidden/>
          </w:rPr>
        </w:r>
        <w:r>
          <w:rPr>
            <w:noProof/>
            <w:webHidden/>
          </w:rPr>
          <w:fldChar w:fldCharType="separate"/>
        </w:r>
        <w:r>
          <w:rPr>
            <w:noProof/>
            <w:webHidden/>
          </w:rPr>
          <w:t>14</w:t>
        </w:r>
        <w:r>
          <w:rPr>
            <w:noProof/>
            <w:webHidden/>
          </w:rPr>
          <w:fldChar w:fldCharType="end"/>
        </w:r>
      </w:hyperlink>
    </w:p>
    <w:p w14:paraId="0305F858" w14:textId="40EEFB8B" w:rsidR="00DC241F" w:rsidRDefault="00DC241F">
      <w:pPr>
        <w:pStyle w:val="TJ1"/>
        <w:rPr>
          <w:rFonts w:asciiTheme="minorHAnsi" w:eastAsiaTheme="minorEastAsia" w:hAnsiTheme="minorHAnsi" w:cstheme="minorBidi"/>
          <w:b w:val="0"/>
          <w:kern w:val="2"/>
          <w:sz w:val="24"/>
          <w14:ligatures w14:val="standardContextual"/>
        </w:rPr>
      </w:pPr>
      <w:hyperlink w:anchor="_Toc231161045" w:history="1">
        <w:r w:rsidRPr="002A40CC">
          <w:rPr>
            <w:rStyle w:val="Hiperhivatkozs"/>
          </w:rPr>
          <w:t>5.</w:t>
        </w:r>
        <w:r>
          <w:rPr>
            <w:rFonts w:asciiTheme="minorHAnsi" w:eastAsiaTheme="minorEastAsia" w:hAnsiTheme="minorHAnsi" w:cstheme="minorBidi"/>
            <w:b w:val="0"/>
            <w:kern w:val="2"/>
            <w:sz w:val="24"/>
            <w14:ligatures w14:val="standardContextual"/>
          </w:rPr>
          <w:tab/>
        </w:r>
        <w:r w:rsidRPr="002A40CC">
          <w:rPr>
            <w:rStyle w:val="Hiperhivatkozs"/>
          </w:rPr>
          <w:t>Részletes szakértői bűzvédelmi értékelés</w:t>
        </w:r>
        <w:r>
          <w:rPr>
            <w:webHidden/>
          </w:rPr>
          <w:tab/>
        </w:r>
        <w:r>
          <w:rPr>
            <w:webHidden/>
          </w:rPr>
          <w:fldChar w:fldCharType="begin"/>
        </w:r>
        <w:r>
          <w:rPr>
            <w:webHidden/>
          </w:rPr>
          <w:instrText xml:space="preserve"> PAGEREF _Toc231161045 \h </w:instrText>
        </w:r>
        <w:r>
          <w:rPr>
            <w:webHidden/>
          </w:rPr>
        </w:r>
        <w:r>
          <w:rPr>
            <w:webHidden/>
          </w:rPr>
          <w:fldChar w:fldCharType="separate"/>
        </w:r>
        <w:r>
          <w:rPr>
            <w:webHidden/>
          </w:rPr>
          <w:t>15</w:t>
        </w:r>
        <w:r>
          <w:rPr>
            <w:webHidden/>
          </w:rPr>
          <w:fldChar w:fldCharType="end"/>
        </w:r>
      </w:hyperlink>
    </w:p>
    <w:p w14:paraId="1714FDFF" w14:textId="27EAC918" w:rsidR="00DC241F" w:rsidRDefault="00DC241F">
      <w:pPr>
        <w:pStyle w:val="TJ2"/>
        <w:tabs>
          <w:tab w:val="left" w:pos="960"/>
          <w:tab w:val="right" w:leader="dot" w:pos="9060"/>
        </w:tabs>
        <w:rPr>
          <w:rFonts w:asciiTheme="minorHAnsi" w:eastAsiaTheme="minorEastAsia" w:hAnsiTheme="minorHAnsi" w:cstheme="minorBidi"/>
          <w:noProof/>
          <w:kern w:val="2"/>
          <w14:ligatures w14:val="standardContextual"/>
        </w:rPr>
      </w:pPr>
      <w:hyperlink w:anchor="_Toc231161046" w:history="1">
        <w:r w:rsidRPr="002A40CC">
          <w:rPr>
            <w:rStyle w:val="Hiperhivatkozs"/>
            <w:noProof/>
          </w:rPr>
          <w:t>5.1.</w:t>
        </w:r>
        <w:r>
          <w:rPr>
            <w:rFonts w:asciiTheme="minorHAnsi" w:eastAsiaTheme="minorEastAsia" w:hAnsiTheme="minorHAnsi" w:cstheme="minorBidi"/>
            <w:noProof/>
            <w:kern w:val="2"/>
            <w14:ligatures w14:val="standardContextual"/>
          </w:rPr>
          <w:tab/>
        </w:r>
        <w:r w:rsidRPr="002A40CC">
          <w:rPr>
            <w:rStyle w:val="Hiperhivatkozs"/>
            <w:noProof/>
          </w:rPr>
          <w:t>A különböző meteorológiai állapotok (S=6 és S=1) dinamikájának és hígulási mechanizmusának összehasonlítása</w:t>
        </w:r>
        <w:r>
          <w:rPr>
            <w:noProof/>
            <w:webHidden/>
          </w:rPr>
          <w:tab/>
        </w:r>
        <w:r>
          <w:rPr>
            <w:noProof/>
            <w:webHidden/>
          </w:rPr>
          <w:fldChar w:fldCharType="begin"/>
        </w:r>
        <w:r>
          <w:rPr>
            <w:noProof/>
            <w:webHidden/>
          </w:rPr>
          <w:instrText xml:space="preserve"> PAGEREF _Toc231161046 \h </w:instrText>
        </w:r>
        <w:r>
          <w:rPr>
            <w:noProof/>
            <w:webHidden/>
          </w:rPr>
        </w:r>
        <w:r>
          <w:rPr>
            <w:noProof/>
            <w:webHidden/>
          </w:rPr>
          <w:fldChar w:fldCharType="separate"/>
        </w:r>
        <w:r>
          <w:rPr>
            <w:noProof/>
            <w:webHidden/>
          </w:rPr>
          <w:t>15</w:t>
        </w:r>
        <w:r>
          <w:rPr>
            <w:noProof/>
            <w:webHidden/>
          </w:rPr>
          <w:fldChar w:fldCharType="end"/>
        </w:r>
      </w:hyperlink>
    </w:p>
    <w:p w14:paraId="7DCAEDC9" w14:textId="1B60D1B2" w:rsidR="00E81567" w:rsidRDefault="00C0254C" w:rsidP="00E81567">
      <w:r>
        <w:fldChar w:fldCharType="end"/>
      </w:r>
    </w:p>
    <w:p w14:paraId="057BF2B6" w14:textId="00D08011" w:rsidR="00C0254C" w:rsidRDefault="00C0254C">
      <w:pPr>
        <w:spacing w:after="0"/>
        <w:jc w:val="left"/>
      </w:pPr>
      <w:r>
        <w:br w:type="page"/>
      </w:r>
    </w:p>
    <w:p w14:paraId="2514AFB4" w14:textId="432A3727" w:rsidR="005410C4" w:rsidRPr="005410C4" w:rsidRDefault="00605C46" w:rsidP="004B18CE">
      <w:pPr>
        <w:pStyle w:val="Cmsor1"/>
      </w:pPr>
      <w:bookmarkStart w:id="3" w:name="_Toc231161025"/>
      <w:bookmarkEnd w:id="0"/>
      <w:bookmarkEnd w:id="1"/>
      <w:bookmarkEnd w:id="2"/>
      <w:r w:rsidRPr="00605C46">
        <w:lastRenderedPageBreak/>
        <w:t>Előzmények és jogszabályi háttér</w:t>
      </w:r>
      <w:bookmarkEnd w:id="3"/>
    </w:p>
    <w:p w14:paraId="4EAEA974" w14:textId="77777777" w:rsidR="005E54B7" w:rsidRDefault="005E54B7" w:rsidP="005E54B7">
      <w:pPr>
        <w:rPr>
          <w:rFonts w:ascii="Times New Roman" w:hAnsi="Times New Roman" w:cs="Times New Roman"/>
        </w:rPr>
      </w:pPr>
      <w:r>
        <w:t xml:space="preserve">A DR. FÜLÖP MÉNES Kft. a Tiszaszőlős külterületén elhelyezkedő </w:t>
      </w:r>
      <w:r>
        <w:rPr>
          <w:b/>
          <w:bCs/>
        </w:rPr>
        <w:t>0244. és 0242/2 helyrajzi számú</w:t>
      </w:r>
      <w:r>
        <w:t xml:space="preserve"> ingatlanokon egy modern, korszerű tartástechnológiával rendelkező, </w:t>
      </w:r>
      <w:r>
        <w:rPr>
          <w:b/>
          <w:bCs/>
        </w:rPr>
        <w:t>5200 férőhelyes hízósertéstelep és a hozzá kapcsolódó 1500 m³-es hígtrágyatároló műtárgy</w:t>
      </w:r>
      <w:r>
        <w:t xml:space="preserve"> létesítését és üzemeltetését tervezi. A beruházás volumenéből adódóan a környezeti hatásvizsgálati és az egységes környezethasználati engedélyezési eljárásról szóló </w:t>
      </w:r>
      <w:r>
        <w:rPr>
          <w:b/>
          <w:bCs/>
        </w:rPr>
        <w:t>314/2005. (XII. 25.) Korm. rendelet</w:t>
      </w:r>
      <w:r>
        <w:t xml:space="preserve"> alapján a tevékenység kombinált KHV és IPPC (EKHE) eljárásköteles.</w:t>
      </w:r>
    </w:p>
    <w:p w14:paraId="1DA7A21C" w14:textId="77777777" w:rsidR="005E54B7" w:rsidRDefault="005E54B7" w:rsidP="005E54B7">
      <w:r>
        <w:t>A benyújtott alapdokumentáció vizsgálata során az eljáró környezetvédelmi hatóság hiánypótlási végzésében előírta a telephely működéséből várható bűzkibocsátások és szaghatások számszerűsített, transzparens, terjedési modellezéssel alátámasztott részletes tisztázását.</w:t>
      </w:r>
    </w:p>
    <w:p w14:paraId="4302C3EB" w14:textId="544B918A" w:rsidR="005E54B7" w:rsidRDefault="005E54B7" w:rsidP="005E54B7">
      <w:r>
        <w:t xml:space="preserve">A hatósági kérdések megválaszolása, valamint a tervezési fázis abszolút szakmai és jogi tisztánlátásának biztosítása érdekében </w:t>
      </w:r>
      <w:r>
        <w:rPr>
          <w:b/>
          <w:bCs/>
        </w:rPr>
        <w:t>nem a korábbi levegőtisztaság-védelmi részanyagok kiegészítése mellett döntöttünk</w:t>
      </w:r>
      <w:r>
        <w:t xml:space="preserve">. Ehelyett a Safety For All Kft. szakértői csapata a hatósági elvárásoknak és az időközben pontosított gépészeti, takarmányozási és mikrobiológiai input adatoknak megfelelően </w:t>
      </w:r>
      <w:r>
        <w:rPr>
          <w:b/>
          <w:bCs/>
        </w:rPr>
        <w:t>egy önálló és számszakilag zárt Bűzvédelmi Szakértői Véleményt</w:t>
      </w:r>
      <w:r>
        <w:t xml:space="preserve"> állított össze. Ez a megközelítés garantálja, hogy a hatóság egy transzparens, ellentmondásoktól mentes, módszertanilag egységes műszaki dokumentáció alapján hozhassa meg döntését.</w:t>
      </w:r>
    </w:p>
    <w:p w14:paraId="05E455B9" w14:textId="47E8DD2B" w:rsidR="00705646" w:rsidRDefault="00D8220C" w:rsidP="00D8220C">
      <w:pPr>
        <w:pStyle w:val="Cmsor1"/>
      </w:pPr>
      <w:bookmarkStart w:id="4" w:name="_Toc231161026"/>
      <w:r w:rsidRPr="00D8220C">
        <w:t>A technológia és a bűzkibocsátó források jellemzése</w:t>
      </w:r>
      <w:bookmarkEnd w:id="4"/>
    </w:p>
    <w:p w14:paraId="1AD1F942" w14:textId="5E0570CF" w:rsidR="00D8220C" w:rsidRDefault="00D8220C" w:rsidP="00D8220C">
      <w:r w:rsidRPr="00D8220C">
        <w:t xml:space="preserve">A </w:t>
      </w:r>
      <w:proofErr w:type="spellStart"/>
      <w:r w:rsidRPr="00D8220C">
        <w:t>tiszaszőlősi</w:t>
      </w:r>
      <w:proofErr w:type="spellEnd"/>
      <w:r w:rsidRPr="00D8220C">
        <w:t xml:space="preserve"> sertéstelep bűzvédelmi szempontú modellezéséhez és a hatástávolságok egzakt meghatározásához elengedhetetlen a telephelyi technológiai folyamatok, az alkalmazott gépészeti rendszerek és a keletkező anyagáramok részletes mérnöki bemutatása. A bűzkibocsátás jellege és térbeli eloszlása alapján a telephelyen zárt pontforrások szaghatásával nem kell számolni; a modellezés során az emissziós gócokat a hazai és nemzetközi hatósági gyakorlatnak megfelelően </w:t>
      </w:r>
      <w:r w:rsidRPr="00D8220C">
        <w:rPr>
          <w:b/>
          <w:bCs/>
        </w:rPr>
        <w:t>diffúz felületi és térfogati forrásként</w:t>
      </w:r>
      <w:r w:rsidRPr="00D8220C">
        <w:t xml:space="preserve"> azonosítjuk és kezeljük.</w:t>
      </w:r>
    </w:p>
    <w:p w14:paraId="299956DB" w14:textId="276C525C" w:rsidR="00D8220C" w:rsidRDefault="00D8220C" w:rsidP="00D8220C">
      <w:pPr>
        <w:pStyle w:val="Cmsor2"/>
      </w:pPr>
      <w:bookmarkStart w:id="5" w:name="_Toc231161027"/>
      <w:r w:rsidRPr="00D8220C">
        <w:t>Állattartási technológia és az istállóépületek mint térfogati diffúz szagforrások</w:t>
      </w:r>
      <w:bookmarkEnd w:id="5"/>
    </w:p>
    <w:p w14:paraId="52D4852D" w14:textId="36708925" w:rsidR="006D3A6E" w:rsidRPr="006D3A6E" w:rsidRDefault="006D3A6E" w:rsidP="006D3A6E">
      <w:r w:rsidRPr="006D3A6E">
        <w:t xml:space="preserve">A beruházás keretében a </w:t>
      </w:r>
      <w:r w:rsidRPr="006D3A6E">
        <w:rPr>
          <w:b/>
          <w:bCs/>
        </w:rPr>
        <w:t>Tiszaszőlős 0244. hrsz.</w:t>
      </w:r>
      <w:r w:rsidRPr="006D3A6E">
        <w:t xml:space="preserve"> alatti, ipari gazdasági (Gip-2) övezeti besorolású ingatlanon 4 db modern, minden szakmai igényt kielégítő hízósertés-istálló épül fel, amelyek összesített egyidejű kapacitása </w:t>
      </w:r>
      <w:r w:rsidRPr="006D3A6E">
        <w:rPr>
          <w:b/>
          <w:bCs/>
        </w:rPr>
        <w:t>5200 férőhely</w:t>
      </w:r>
      <w:r w:rsidRPr="006D3A6E">
        <w:t>. A telepen szakaszos hizlalási technológia valósul meg, a sertések fogadása 35 kg-os súlycsoportban történik, kibocsátásuk pedig a 110-135 kg-os vágósúly elérésekor esedékes.</w:t>
      </w:r>
    </w:p>
    <w:p w14:paraId="3E05E73D" w14:textId="77777777" w:rsidR="006D3A6E" w:rsidRPr="006D3A6E" w:rsidRDefault="006D3A6E">
      <w:pPr>
        <w:numPr>
          <w:ilvl w:val="0"/>
          <w:numId w:val="9"/>
        </w:numPr>
      </w:pPr>
      <w:r w:rsidRPr="006D3A6E">
        <w:rPr>
          <w:b/>
          <w:bCs/>
        </w:rPr>
        <w:t>Építészeti kialakítás:</w:t>
      </w:r>
      <w:r w:rsidRPr="006D3A6E">
        <w:t xml:space="preserve"> Az istállóépületek zárt, hőszigetelt kivitelben, könnyű tisztíthatóságot és </w:t>
      </w:r>
      <w:proofErr w:type="spellStart"/>
      <w:r w:rsidRPr="006D3A6E">
        <w:t>fertőtleníthetőséget</w:t>
      </w:r>
      <w:proofErr w:type="spellEnd"/>
      <w:r w:rsidRPr="006D3A6E">
        <w:t xml:space="preserve"> biztosító felületekkel és padozattal készülnek. Az épületek fűtési, hűtési és szellőztetési rendszerei teljesen automatizáltak (Big </w:t>
      </w:r>
      <w:proofErr w:type="spellStart"/>
      <w:r w:rsidRPr="006D3A6E">
        <w:t>Dutchman</w:t>
      </w:r>
      <w:proofErr w:type="spellEnd"/>
      <w:r w:rsidRPr="006D3A6E">
        <w:t xml:space="preserve"> technológia).</w:t>
      </w:r>
    </w:p>
    <w:p w14:paraId="0384EB7A" w14:textId="22A1E69C" w:rsidR="006D3A6E" w:rsidRPr="006D3A6E" w:rsidRDefault="006D3A6E">
      <w:pPr>
        <w:numPr>
          <w:ilvl w:val="0"/>
          <w:numId w:val="9"/>
        </w:numPr>
      </w:pPr>
      <w:r w:rsidRPr="006D3A6E">
        <w:rPr>
          <w:b/>
          <w:bCs/>
        </w:rPr>
        <w:t>Diffúz forrásként való kezelés szakmai indoklása:</w:t>
      </w:r>
      <w:r w:rsidRPr="006D3A6E">
        <w:t xml:space="preserve"> Bár az istállók kényszerszellőztetését tetőbe integrált elszívó kürtők és ventilátorok végzik, a szaganyagok terjedése és </w:t>
      </w:r>
      <w:r w:rsidRPr="006D3A6E">
        <w:lastRenderedPageBreak/>
        <w:t xml:space="preserve">diszperziója szempontjából az épületek nem kezelhetők hagyományos, magas technológiai és termikus felhajtóerővel rendelkező pontforrásként. Az elszívott levegő az istálló környezetében, az épület geometriai magasságában (3,0 m) azonnal keveredik a környező légtömegekkel, és az épületszerkezet </w:t>
      </w:r>
      <w:proofErr w:type="spellStart"/>
      <w:r w:rsidRPr="006D3A6E">
        <w:t>mikronyílásain</w:t>
      </w:r>
      <w:proofErr w:type="spellEnd"/>
      <w:r w:rsidRPr="006D3A6E">
        <w:t xml:space="preserve">, kapuin keresztül távozó diffúz áramokkal együtt együttesen alkot egy </w:t>
      </w:r>
      <w:r w:rsidRPr="006D3A6E">
        <w:rPr>
          <w:b/>
          <w:bCs/>
        </w:rPr>
        <w:t>térfogati diffúz forrást</w:t>
      </w:r>
      <w:r w:rsidRPr="006D3A6E">
        <w:t>. A Hatástávolság programban az istállókat ezért egységes, horizontálisan kiterjedt felületi/térfogati forrásként modellezzük, ami a legkonzervatívabb, a valóságot legjobban megközelítő terjedési képet eredményezi.</w:t>
      </w:r>
    </w:p>
    <w:p w14:paraId="2FCA347D" w14:textId="2F737097" w:rsidR="00D8220C" w:rsidRDefault="006147D5" w:rsidP="006147D5">
      <w:pPr>
        <w:pStyle w:val="Cmsor2"/>
      </w:pPr>
      <w:bookmarkStart w:id="6" w:name="_Toc231161028"/>
      <w:r w:rsidRPr="006147D5">
        <w:t>Belső hígtrágya-kezelés és elvezetés technológiája</w:t>
      </w:r>
      <w:bookmarkEnd w:id="6"/>
    </w:p>
    <w:p w14:paraId="525E2434" w14:textId="77777777" w:rsidR="006147D5" w:rsidRPr="006147D5" w:rsidRDefault="006147D5" w:rsidP="006147D5">
      <w:r w:rsidRPr="006147D5">
        <w:t>A telepi szag- és bűzképződés elsődleges forrása a fialásból és hizlalásból származó ürülék és vizelet, azaz a hígtrágya. A forrásoldali bűzelfojtás érdekében a beruházó a legkorszerűbb, zárt belső trágyakezelést alkalmazza:</w:t>
      </w:r>
    </w:p>
    <w:p w14:paraId="009FCDB7" w14:textId="77777777" w:rsidR="006147D5" w:rsidRPr="006147D5" w:rsidRDefault="006147D5">
      <w:pPr>
        <w:numPr>
          <w:ilvl w:val="0"/>
          <w:numId w:val="10"/>
        </w:numPr>
      </w:pPr>
      <w:r w:rsidRPr="006147D5">
        <w:rPr>
          <w:b/>
          <w:bCs/>
        </w:rPr>
        <w:t>Rácspadozatos gyűjtés:</w:t>
      </w:r>
      <w:r w:rsidRPr="006147D5">
        <w:t xml:space="preserve"> Az istállókon belül részben vagy teljesen rácspadozatos elrendezés valósul meg. A padozat alatt speciális, szulfátálló vasbetonból készülő, vízzáró adalékszerrel (S54) ellátott trágyacsatornák és lagúnák helyezkednek el. A betonfelületek kialakítása megfelel a DIN 11622 és DIN 1045 szigorú vízzárósági előírásainak, megakadályozva a környező talaj és talajvíz szennyezését.</w:t>
      </w:r>
    </w:p>
    <w:p w14:paraId="0DA38B66" w14:textId="35EBFA49" w:rsidR="006147D5" w:rsidRPr="006147D5" w:rsidRDefault="006147D5">
      <w:pPr>
        <w:numPr>
          <w:ilvl w:val="0"/>
          <w:numId w:val="10"/>
        </w:numPr>
      </w:pPr>
      <w:r w:rsidRPr="006147D5">
        <w:rPr>
          <w:b/>
          <w:bCs/>
        </w:rPr>
        <w:t xml:space="preserve">Váltakozó </w:t>
      </w:r>
      <w:proofErr w:type="spellStart"/>
      <w:r w:rsidRPr="006147D5">
        <w:rPr>
          <w:b/>
          <w:bCs/>
        </w:rPr>
        <w:t>duzzasztású</w:t>
      </w:r>
      <w:proofErr w:type="spellEnd"/>
      <w:r w:rsidRPr="006147D5">
        <w:rPr>
          <w:b/>
          <w:bCs/>
        </w:rPr>
        <w:t>, zárt gravitációs leürítés:</w:t>
      </w:r>
      <w:r w:rsidRPr="006147D5">
        <w:t xml:space="preserve"> Az </w:t>
      </w:r>
      <w:proofErr w:type="spellStart"/>
      <w:r w:rsidRPr="006147D5">
        <w:t>Aliter</w:t>
      </w:r>
      <w:proofErr w:type="spellEnd"/>
      <w:r w:rsidRPr="006147D5">
        <w:t xml:space="preserve">-P Kft. gépészeti terveinek megfelelően a csatornákból a hígtrágya eltávolítása zárt csővezetéken keresztül, gravitációs úton történik. A csatornák alján elhelyezett leeresztő trágyaszemeket és dugókat turnusonként szakaszosan, egymás után nyitják ki. Ez a váltakozó irányú áramlási logika biztosítja az örvényszerű, </w:t>
      </w:r>
      <w:r w:rsidRPr="006147D5">
        <w:rPr>
          <w:b/>
          <w:bCs/>
        </w:rPr>
        <w:t>teljesen üledékmentes leürítést</w:t>
      </w:r>
      <w:r w:rsidRPr="006147D5">
        <w:t>. Mivel a trágyalé nem pang az istállóépületen belül, nem alakulnak ki hosszan tartó, nyitott felületű anaerob rothadási folyamatok, ami drasztikusan csökkenti a nyers kénhidrogén (H</w:t>
      </w:r>
      <w:r w:rsidRPr="00BD24E0">
        <w:rPr>
          <w:vertAlign w:val="subscript"/>
        </w:rPr>
        <w:t>2</w:t>
      </w:r>
      <w:r w:rsidRPr="006147D5">
        <w:t>S) és ammónia (NH</w:t>
      </w:r>
      <w:r w:rsidRPr="00BD24E0">
        <w:rPr>
          <w:vertAlign w:val="subscript"/>
        </w:rPr>
        <w:t>3</w:t>
      </w:r>
      <w:r w:rsidRPr="006147D5">
        <w:t>) gázok felszabadulását a nevelőtérben.</w:t>
      </w:r>
    </w:p>
    <w:p w14:paraId="00CC598C" w14:textId="76D8D583" w:rsidR="00D8220C" w:rsidRDefault="00BD24E0" w:rsidP="00BD24E0">
      <w:pPr>
        <w:pStyle w:val="Cmsor2"/>
      </w:pPr>
      <w:bookmarkStart w:id="7" w:name="_Toc231161029"/>
      <w:r w:rsidRPr="00BD24E0">
        <w:t xml:space="preserve">Külső hígtrágyatároló </w:t>
      </w:r>
      <w:proofErr w:type="gramStart"/>
      <w:r w:rsidRPr="00BD24E0">
        <w:t>műtárgy</w:t>
      </w:r>
      <w:proofErr w:type="gramEnd"/>
      <w:r w:rsidRPr="00BD24E0">
        <w:t xml:space="preserve"> mint diffúz felületi forrás</w:t>
      </w:r>
      <w:bookmarkEnd w:id="7"/>
    </w:p>
    <w:p w14:paraId="40E25AF0" w14:textId="77777777" w:rsidR="00BD24E0" w:rsidRPr="00BD24E0" w:rsidRDefault="00BD24E0" w:rsidP="00BD24E0">
      <w:r w:rsidRPr="00BD24E0">
        <w:t xml:space="preserve">Az istállókból kiürített hígtrágya zárt, földalatti csőhálózaton keresztül folyik át a szomszédos, </w:t>
      </w:r>
      <w:r w:rsidRPr="00BD24E0">
        <w:rPr>
          <w:b/>
          <w:bCs/>
        </w:rPr>
        <w:t>0242/2 hrsz.</w:t>
      </w:r>
      <w:r w:rsidRPr="00BD24E0">
        <w:t xml:space="preserve"> alatti, általános mezőgazdasági (Má-1) övezeti besorolású ingatlanon elhelyezkedő külső végtároló műtárgyba.</w:t>
      </w:r>
    </w:p>
    <w:p w14:paraId="46C76D39" w14:textId="77777777" w:rsidR="00BD24E0" w:rsidRPr="00BD24E0" w:rsidRDefault="00BD24E0">
      <w:pPr>
        <w:numPr>
          <w:ilvl w:val="0"/>
          <w:numId w:val="11"/>
        </w:numPr>
      </w:pPr>
      <w:r w:rsidRPr="00BD24E0">
        <w:rPr>
          <w:b/>
          <w:bCs/>
        </w:rPr>
        <w:t>A műtárgy paraméterei:</w:t>
      </w:r>
      <w:r w:rsidRPr="00BD24E0">
        <w:t xml:space="preserve"> A tárolást egy </w:t>
      </w:r>
      <w:r w:rsidRPr="00BD24E0">
        <w:rPr>
          <w:b/>
          <w:bCs/>
        </w:rPr>
        <w:t>1500 m³</w:t>
      </w:r>
      <w:r w:rsidRPr="00BD24E0">
        <w:t xml:space="preserve"> nettó kapacitású, monolit vasbetonból készülő, hengeres kialakítású körműtárgy biztosítja. A tározó teljes szerkezeti mélysége </w:t>
      </w:r>
      <w:r w:rsidRPr="00BD24E0">
        <w:rPr>
          <w:b/>
          <w:bCs/>
        </w:rPr>
        <w:t>4,5 méter</w:t>
      </w:r>
      <w:r w:rsidRPr="00BD24E0">
        <w:t>.</w:t>
      </w:r>
    </w:p>
    <w:p w14:paraId="6BB5FAD9" w14:textId="77777777" w:rsidR="00BD24E0" w:rsidRPr="00BD24E0" w:rsidRDefault="00BD24E0">
      <w:pPr>
        <w:numPr>
          <w:ilvl w:val="0"/>
          <w:numId w:val="11"/>
        </w:numPr>
      </w:pPr>
      <w:r w:rsidRPr="00BD24E0">
        <w:rPr>
          <w:b/>
          <w:bCs/>
        </w:rPr>
        <w:t>Emisszió-gátló ponyvafedés:</w:t>
      </w:r>
      <w:r w:rsidRPr="00BD24E0">
        <w:t xml:space="preserve"> A hatósági elvárásokkal és a BAT-követelményekkel összhangban a körműtárgy nyitott felszíne egy speciális, </w:t>
      </w:r>
      <w:r w:rsidRPr="00BD24E0">
        <w:rPr>
          <w:b/>
          <w:bCs/>
        </w:rPr>
        <w:t>rugalmas, gázzáró ponyvafedéssel</w:t>
      </w:r>
      <w:r w:rsidRPr="00BD24E0">
        <w:t xml:space="preserve"> kerül tartósan lezárásra. Ez a fizikai záróréteg megakadályozza, hogy a tárolt trágyalé felszíne közvetlenül érintkezzen a szélmezővel, elfojtva a párolgási szagáramokat.</w:t>
      </w:r>
    </w:p>
    <w:p w14:paraId="3F653A30" w14:textId="77777777" w:rsidR="00BD24E0" w:rsidRPr="00BD24E0" w:rsidRDefault="00BD24E0">
      <w:pPr>
        <w:numPr>
          <w:ilvl w:val="0"/>
          <w:numId w:val="11"/>
        </w:numPr>
      </w:pPr>
      <w:r w:rsidRPr="00BD24E0">
        <w:rPr>
          <w:b/>
          <w:bCs/>
        </w:rPr>
        <w:t>Szakaszos homogenizálás:</w:t>
      </w:r>
      <w:r w:rsidRPr="00BD24E0">
        <w:t xml:space="preserve"> A tároló gépészetét egy 15 kW teljesítményű, BAUER MSXH 15 típusú búvármotoros hígtrágyakeverő alkotja, amely a szilárd fázis leülepedésének megakadályozására szolgál. A keverő működését SIEMENS LOGO! programozható vezérlőszekrény irányítja. A rendszer időköz-kapcsolású, szakaszos üzemben fut (nem folyamatos 24 órás működés), ami minimalizálja a keverés alatti felületi gázkihajtást és bűzkibocsátást.</w:t>
      </w:r>
    </w:p>
    <w:p w14:paraId="297617E2" w14:textId="18B5C1B7" w:rsidR="00BD24E0" w:rsidRPr="00BD24E0" w:rsidRDefault="00BD24E0">
      <w:pPr>
        <w:numPr>
          <w:ilvl w:val="0"/>
          <w:numId w:val="11"/>
        </w:numPr>
      </w:pPr>
      <w:r w:rsidRPr="00BD24E0">
        <w:rPr>
          <w:b/>
          <w:bCs/>
        </w:rPr>
        <w:t>Diffúz forrásként való kezelés:</w:t>
      </w:r>
      <w:r w:rsidRPr="00BD24E0">
        <w:t xml:space="preserve"> A ponyvafedés ellenére a műtárgy esetleges biztonsági </w:t>
      </w:r>
      <w:proofErr w:type="spellStart"/>
      <w:r w:rsidRPr="00BD24E0">
        <w:t>szelepein</w:t>
      </w:r>
      <w:proofErr w:type="spellEnd"/>
      <w:r w:rsidRPr="00BD24E0">
        <w:t xml:space="preserve"> és szegélyein keresztül fellépő minimális gázkibocsátásokat a modellezés során </w:t>
      </w:r>
      <w:r w:rsidRPr="00BD24E0">
        <w:rPr>
          <w:b/>
          <w:bCs/>
        </w:rPr>
        <w:lastRenderedPageBreak/>
        <w:t>diffúz felületi forrásként</w:t>
      </w:r>
      <w:r w:rsidRPr="00BD24E0">
        <w:t xml:space="preserve"> vesszük figyelembe a tározó fizikai alapterületének (D = 20,6 m) megfelelően, biztosítva a számítások teljes körű biztonságát.</w:t>
      </w:r>
    </w:p>
    <w:p w14:paraId="3D44FB69" w14:textId="191A38DF" w:rsidR="00D8220C" w:rsidRDefault="00244267" w:rsidP="00244267">
      <w:pPr>
        <w:pStyle w:val="Cmsor2"/>
      </w:pPr>
      <w:bookmarkStart w:id="8" w:name="_Toc231161030"/>
      <w:r w:rsidRPr="00244267">
        <w:t xml:space="preserve">Integrált forrásoldali szagcsökkentés: </w:t>
      </w:r>
      <w:proofErr w:type="spellStart"/>
      <w:r w:rsidRPr="00244267">
        <w:t>BioAmp</w:t>
      </w:r>
      <w:proofErr w:type="spellEnd"/>
      <w:r w:rsidRPr="00244267">
        <w:t xml:space="preserve"> 300 és </w:t>
      </w:r>
      <w:proofErr w:type="spellStart"/>
      <w:r w:rsidRPr="00244267">
        <w:t>FreeFlow</w:t>
      </w:r>
      <w:proofErr w:type="spellEnd"/>
      <w:r w:rsidRPr="00244267">
        <w:t>™ technológia</w:t>
      </w:r>
      <w:bookmarkEnd w:id="8"/>
    </w:p>
    <w:p w14:paraId="53F13B62" w14:textId="77777777" w:rsidR="00244267" w:rsidRPr="00244267" w:rsidRDefault="00244267" w:rsidP="00244267">
      <w:r w:rsidRPr="00244267">
        <w:t xml:space="preserve">A bűzkibocsátás számszerűsítésénél döntő tényező, hogy a telephelyen nem kezeletlen, hanem biológiailag folyamatosan stabilizált hígtrágya van jelen. A Kft. a bűzanyagok keletkezését már a forrásnál, az istállók belső csatornáiban elfojtja az </w:t>
      </w:r>
      <w:r w:rsidRPr="00244267">
        <w:rPr>
          <w:b/>
          <w:bCs/>
        </w:rPr>
        <w:t xml:space="preserve">NCH </w:t>
      </w:r>
      <w:proofErr w:type="spellStart"/>
      <w:r w:rsidRPr="00244267">
        <w:rPr>
          <w:b/>
          <w:bCs/>
        </w:rPr>
        <w:t>BioAmp</w:t>
      </w:r>
      <w:proofErr w:type="spellEnd"/>
      <w:r w:rsidRPr="00244267">
        <w:rPr>
          <w:b/>
          <w:bCs/>
        </w:rPr>
        <w:t xml:space="preserve"> 300</w:t>
      </w:r>
      <w:r w:rsidRPr="00244267">
        <w:t xml:space="preserve"> számítógép-vezérelt mikrobiológiai adagolórendszer alkalmazásával.</w:t>
      </w:r>
    </w:p>
    <w:p w14:paraId="68800B65" w14:textId="77777777" w:rsidR="00244267" w:rsidRPr="00244267" w:rsidRDefault="00244267">
      <w:pPr>
        <w:numPr>
          <w:ilvl w:val="0"/>
          <w:numId w:val="12"/>
        </w:numPr>
      </w:pPr>
      <w:r w:rsidRPr="00244267">
        <w:rPr>
          <w:b/>
          <w:bCs/>
        </w:rPr>
        <w:t>Működési elv és automatizálás:</w:t>
      </w:r>
      <w:r w:rsidRPr="00244267">
        <w:t xml:space="preserve"> A telepen elhelyezett </w:t>
      </w:r>
      <w:proofErr w:type="spellStart"/>
      <w:r w:rsidRPr="00244267">
        <w:t>BioAmp</w:t>
      </w:r>
      <w:proofErr w:type="spellEnd"/>
      <w:r w:rsidRPr="00244267">
        <w:t xml:space="preserve"> 300 </w:t>
      </w:r>
      <w:proofErr w:type="spellStart"/>
      <w:r w:rsidRPr="00244267">
        <w:t>biogenerátor</w:t>
      </w:r>
      <w:proofErr w:type="spellEnd"/>
      <w:r w:rsidRPr="00244267">
        <w:t xml:space="preserve"> napi ciklusokban automatikusan adagolja a </w:t>
      </w:r>
      <w:proofErr w:type="spellStart"/>
      <w:r w:rsidRPr="00244267">
        <w:t>FreeFlow</w:t>
      </w:r>
      <w:proofErr w:type="spellEnd"/>
      <w:r w:rsidRPr="00244267">
        <w:t xml:space="preserve">™ tablettákat egy belső fermentációs edénybe, ahol tiszta víz és fűtés mellett 24 óra alatt több trillió aktív, élő </w:t>
      </w:r>
      <w:r w:rsidRPr="00244267">
        <w:rPr>
          <w:i/>
          <w:iCs/>
        </w:rPr>
        <w:t>Bacillus</w:t>
      </w:r>
      <w:r w:rsidRPr="00244267">
        <w:t xml:space="preserve"> baktériumsejtet szaporít fel. Ez a folyékony baktériumkultúra automatikusan mosódik be a telepi trágyacsatorna-hálózatba.</w:t>
      </w:r>
    </w:p>
    <w:p w14:paraId="13421802" w14:textId="7030C3A2" w:rsidR="00244267" w:rsidRPr="00244267" w:rsidRDefault="00244267">
      <w:pPr>
        <w:numPr>
          <w:ilvl w:val="0"/>
          <w:numId w:val="12"/>
        </w:numPr>
      </w:pPr>
      <w:r w:rsidRPr="00244267">
        <w:rPr>
          <w:b/>
          <w:bCs/>
        </w:rPr>
        <w:t>Mikrobiológiai bűzelfojtás:</w:t>
      </w:r>
      <w:r w:rsidRPr="00244267">
        <w:t xml:space="preserve"> A </w:t>
      </w:r>
      <w:proofErr w:type="spellStart"/>
      <w:r w:rsidRPr="00244267">
        <w:t>FreeFlow</w:t>
      </w:r>
      <w:proofErr w:type="spellEnd"/>
      <w:r w:rsidRPr="00244267">
        <w:t>™ spórákból felszaporodó jótékony baktériumtörzsek (</w:t>
      </w:r>
      <w:r w:rsidRPr="00244267">
        <w:rPr>
          <w:i/>
          <w:iCs/>
        </w:rPr>
        <w:t xml:space="preserve">Bacillus </w:t>
      </w:r>
      <w:proofErr w:type="spellStart"/>
      <w:r w:rsidRPr="00244267">
        <w:rPr>
          <w:i/>
          <w:iCs/>
        </w:rPr>
        <w:t>thuringiensis</w:t>
      </w:r>
      <w:proofErr w:type="spellEnd"/>
      <w:r w:rsidRPr="00244267">
        <w:rPr>
          <w:i/>
          <w:iCs/>
        </w:rPr>
        <w:t xml:space="preserve">, Bacillus </w:t>
      </w:r>
      <w:proofErr w:type="spellStart"/>
      <w:r w:rsidRPr="00244267">
        <w:rPr>
          <w:i/>
          <w:iCs/>
        </w:rPr>
        <w:t>simplex</w:t>
      </w:r>
      <w:proofErr w:type="spellEnd"/>
      <w:r w:rsidRPr="00244267">
        <w:t xml:space="preserve">) kompetitív úton elnyomják a rothadásért, bűzért és az </w:t>
      </w:r>
      <w:proofErr w:type="spellStart"/>
      <w:r w:rsidRPr="00244267">
        <w:t>uretáz</w:t>
      </w:r>
      <w:proofErr w:type="spellEnd"/>
      <w:r w:rsidRPr="00244267">
        <w:t>-aktivitásért felelős vad anaerob törzseket. A baktériumok emésztési folyamataik révén folyékonnyá teszik a hígtrágyát, teljesen lebontják a rostos felszíni trágyakérget (</w:t>
      </w:r>
      <w:proofErr w:type="spellStart"/>
      <w:r w:rsidRPr="00244267">
        <w:t>krustát</w:t>
      </w:r>
      <w:proofErr w:type="spellEnd"/>
      <w:r w:rsidRPr="00244267">
        <w:t>), megakadályozva a gázok felhalmozódását és lökésszerű felszabadulását. Ennek eredményeként a hígtrágya nitrogéntartalma nem illékony ammónia (NH</w:t>
      </w:r>
      <w:r w:rsidRPr="005031DC">
        <w:rPr>
          <w:vertAlign w:val="subscript"/>
        </w:rPr>
        <w:t>3</w:t>
      </w:r>
      <w:r w:rsidRPr="00244267">
        <w:t>) vagy kénhidrogén (H</w:t>
      </w:r>
      <w:r w:rsidRPr="005031DC">
        <w:rPr>
          <w:vertAlign w:val="subscript"/>
        </w:rPr>
        <w:t>2</w:t>
      </w:r>
      <w:r w:rsidRPr="00244267">
        <w:t>S) gázként távozik a levegőbe, hanem stabil ammónium-ion (NH</w:t>
      </w:r>
      <w:r w:rsidRPr="005031DC">
        <w:rPr>
          <w:vertAlign w:val="subscript"/>
        </w:rPr>
        <w:t>4</w:t>
      </w:r>
      <w:r w:rsidRPr="005031DC">
        <w:rPr>
          <w:vertAlign w:val="superscript"/>
        </w:rPr>
        <w:t>+</w:t>
      </w:r>
      <w:r w:rsidRPr="00244267">
        <w:t xml:space="preserve">) formájában a folyadékfázisban marad, </w:t>
      </w:r>
      <w:r w:rsidRPr="00244267">
        <w:rPr>
          <w:b/>
          <w:bCs/>
        </w:rPr>
        <w:t>forrásoldalon 60-70%-kal csökkentve a nyers telepi bűzkibocsátás intenzitását</w:t>
      </w:r>
      <w:r w:rsidRPr="00244267">
        <w:t>.</w:t>
      </w:r>
    </w:p>
    <w:p w14:paraId="7D33EB5B" w14:textId="2F870F56" w:rsidR="00D8220C" w:rsidRDefault="00556DB2" w:rsidP="00556DB2">
      <w:pPr>
        <w:pStyle w:val="Cmsor2"/>
      </w:pPr>
      <w:bookmarkStart w:id="9" w:name="_Toc231161031"/>
      <w:r w:rsidRPr="00556DB2">
        <w:t xml:space="preserve">Egyéb </w:t>
      </w:r>
      <w:r>
        <w:t xml:space="preserve">lehetséges </w:t>
      </w:r>
      <w:r w:rsidRPr="00556DB2">
        <w:t>technológiai és technológiához kapcsolódó ellenőrzött bűzforrások</w:t>
      </w:r>
      <w:bookmarkEnd w:id="9"/>
    </w:p>
    <w:p w14:paraId="5A71DA1D" w14:textId="0AAD1C91" w:rsidR="00556DB2" w:rsidRPr="00556DB2" w:rsidRDefault="00556DB2" w:rsidP="00556DB2">
      <w:r w:rsidRPr="00556DB2">
        <w:t>A telephelyi alapműködésen (istállók és hígtrágya</w:t>
      </w:r>
      <w:r>
        <w:t xml:space="preserve"> tároló</w:t>
      </w:r>
      <w:r w:rsidRPr="00556DB2">
        <w:t>) kívül eső, de a technológiai lánchoz szorosan kapcsolódó egyéb potenciális bűzforrások – a beépített modern gépészeti és hűtési megoldások révén – szigorú és folyamatos környezetvédelmi kontroll alatt állnak, így diffúz bűzterhelést a környezetükben igazoltan nem okoznak.</w:t>
      </w:r>
    </w:p>
    <w:p w14:paraId="5CC96AD1" w14:textId="555F5350" w:rsidR="00556DB2" w:rsidRPr="00556DB2" w:rsidRDefault="00556DB2">
      <w:pPr>
        <w:numPr>
          <w:ilvl w:val="0"/>
          <w:numId w:val="13"/>
        </w:numPr>
      </w:pPr>
      <w:r w:rsidRPr="00556DB2">
        <w:rPr>
          <w:b/>
          <w:bCs/>
        </w:rPr>
        <w:t>Járványvédelmi hullatároló (</w:t>
      </w:r>
      <w:proofErr w:type="spellStart"/>
      <w:r w:rsidRPr="00556DB2">
        <w:rPr>
          <w:b/>
          <w:bCs/>
        </w:rPr>
        <w:t>Euratainer</w:t>
      </w:r>
      <w:proofErr w:type="spellEnd"/>
      <w:r w:rsidRPr="00556DB2">
        <w:rPr>
          <w:b/>
          <w:bCs/>
        </w:rPr>
        <w:t xml:space="preserve"> egység):</w:t>
      </w:r>
      <w:r w:rsidRPr="00556DB2">
        <w:t xml:space="preserve"> A turnusonként keletkező természetes mortalitásból származó tetemek átmeneti gyűjtésére egy </w:t>
      </w:r>
      <w:proofErr w:type="spellStart"/>
      <w:r w:rsidRPr="00556DB2">
        <w:rPr>
          <w:b/>
          <w:bCs/>
        </w:rPr>
        <w:t>Euratainer</w:t>
      </w:r>
      <w:proofErr w:type="spellEnd"/>
      <w:r w:rsidRPr="00556DB2">
        <w:rPr>
          <w:b/>
          <w:bCs/>
        </w:rPr>
        <w:t xml:space="preserve"> / </w:t>
      </w:r>
      <w:proofErr w:type="spellStart"/>
      <w:r w:rsidRPr="00556DB2">
        <w:rPr>
          <w:b/>
          <w:bCs/>
        </w:rPr>
        <w:t>Mobilbox</w:t>
      </w:r>
      <w:proofErr w:type="spellEnd"/>
      <w:r w:rsidRPr="00556DB2">
        <w:rPr>
          <w:b/>
          <w:bCs/>
        </w:rPr>
        <w:t xml:space="preserve"> MR20</w:t>
      </w:r>
      <w:r w:rsidRPr="00556DB2">
        <w:t xml:space="preserve"> típusú hőszigetelt hűtőkabin szolgál. A felépítmény 6 cm vastag poliészter fala kiemelkedő hőszigetelést biztosít (k = 0,323 W/m²K), az automata termosztát pedig folyamatosan </w:t>
      </w:r>
      <w:r w:rsidRPr="00556DB2">
        <w:rPr>
          <w:b/>
          <w:bCs/>
        </w:rPr>
        <w:t>+4 °C és +8 °C között</w:t>
      </w:r>
      <w:r w:rsidRPr="00556DB2">
        <w:t xml:space="preserve"> tartja a belső teret. Ezen a hőmérsékleten a fehérjebontó anaerob folyamatok és a gázképződés teljesen lefékeződik, a zárt kialakítás pedig meggátolja a szaganyagok kijutását.</w:t>
      </w:r>
    </w:p>
    <w:p w14:paraId="3613BD6D" w14:textId="32837439" w:rsidR="00556DB2" w:rsidRPr="00556DB2" w:rsidRDefault="00556DB2">
      <w:pPr>
        <w:numPr>
          <w:ilvl w:val="0"/>
          <w:numId w:val="13"/>
        </w:numPr>
      </w:pPr>
      <w:proofErr w:type="spellStart"/>
      <w:r w:rsidRPr="00556DB2">
        <w:rPr>
          <w:b/>
          <w:bCs/>
        </w:rPr>
        <w:t>Bentley</w:t>
      </w:r>
      <w:proofErr w:type="spellEnd"/>
      <w:r w:rsidRPr="00556DB2">
        <w:rPr>
          <w:b/>
          <w:bCs/>
        </w:rPr>
        <w:t xml:space="preserve"> 1000 AIS 064 </w:t>
      </w:r>
      <w:proofErr w:type="spellStart"/>
      <w:r w:rsidRPr="00556DB2">
        <w:rPr>
          <w:b/>
          <w:bCs/>
        </w:rPr>
        <w:t>Cyclone</w:t>
      </w:r>
      <w:proofErr w:type="spellEnd"/>
      <w:r w:rsidRPr="00556DB2">
        <w:rPr>
          <w:b/>
          <w:bCs/>
        </w:rPr>
        <w:t xml:space="preserve"> tetemégető (P1 pontforrás):</w:t>
      </w:r>
      <w:r w:rsidRPr="00556DB2">
        <w:t xml:space="preserve"> A telepi hulladékok helyszíni ártalmatlanítását végző berendezés kétkamrás, </w:t>
      </w:r>
      <w:proofErr w:type="spellStart"/>
      <w:r w:rsidRPr="00556DB2">
        <w:t>utóégetős</w:t>
      </w:r>
      <w:proofErr w:type="spellEnd"/>
      <w:r w:rsidRPr="00556DB2">
        <w:t xml:space="preserve"> rendszerű. Az elsődleges kamrából származó primer füstgázok a másodlagos utóégető kamrán áthaladva </w:t>
      </w:r>
      <w:r w:rsidRPr="00556DB2">
        <w:rPr>
          <w:b/>
          <w:bCs/>
        </w:rPr>
        <w:t>850 °C és 1000 °C közötti</w:t>
      </w:r>
      <w:r w:rsidRPr="00556DB2">
        <w:t xml:space="preserve"> hőmérsékleten, feleslegben biztosított oxigén mellett tökéletes termikus oxidációt (roncsolást) szenvednek. Az összes illékony szerves szagmolekula (VOC) teljesen megsemmisül (CO</w:t>
      </w:r>
      <w:r w:rsidRPr="00556DB2">
        <w:rPr>
          <w:vertAlign w:val="subscript"/>
        </w:rPr>
        <w:t>2</w:t>
      </w:r>
      <w:r w:rsidRPr="00556DB2">
        <w:t>-vé és H</w:t>
      </w:r>
      <w:r w:rsidRPr="00556DB2">
        <w:rPr>
          <w:vertAlign w:val="subscript"/>
        </w:rPr>
        <w:t>2</w:t>
      </w:r>
      <w:r w:rsidRPr="00556DB2">
        <w:t>O-vá alakul), így a kéményen át távozó gázáram bűz- és korommentes.</w:t>
      </w:r>
    </w:p>
    <w:p w14:paraId="2E56CED9" w14:textId="77777777" w:rsidR="00556DB2" w:rsidRPr="00556DB2" w:rsidRDefault="00556DB2">
      <w:pPr>
        <w:numPr>
          <w:ilvl w:val="0"/>
          <w:numId w:val="13"/>
        </w:numPr>
      </w:pPr>
      <w:r w:rsidRPr="00556DB2">
        <w:rPr>
          <w:b/>
          <w:bCs/>
        </w:rPr>
        <w:lastRenderedPageBreak/>
        <w:t>Szántóföldi hígtrágya-kijuttatás (külső tevékenység):</w:t>
      </w:r>
      <w:r w:rsidRPr="00556DB2">
        <w:t xml:space="preserve"> Jogilag és </w:t>
      </w:r>
      <w:proofErr w:type="spellStart"/>
      <w:r w:rsidRPr="00556DB2">
        <w:t>földrajzilag</w:t>
      </w:r>
      <w:proofErr w:type="spellEnd"/>
      <w:r w:rsidRPr="00556DB2">
        <w:t xml:space="preserve"> egy külső, nem a telephely kerítésvonalán belül zajló, időszakos mezőgazdasági tevékenység, amely Tiszaszőlős és Tiszaderzs kijelölt külterületi szántóföldjeit érinti. A bűzhatás elfojtása érdekében a </w:t>
      </w:r>
      <w:proofErr w:type="gramStart"/>
      <w:r w:rsidRPr="00556DB2">
        <w:t>Kft.</w:t>
      </w:r>
      <w:proofErr w:type="gramEnd"/>
      <w:r w:rsidRPr="00556DB2">
        <w:t xml:space="preserve"> saját tulajdonú, zárt </w:t>
      </w:r>
      <w:proofErr w:type="spellStart"/>
      <w:r w:rsidRPr="00556DB2">
        <w:rPr>
          <w:b/>
          <w:bCs/>
        </w:rPr>
        <w:t>Fliegl</w:t>
      </w:r>
      <w:proofErr w:type="spellEnd"/>
      <w:r w:rsidRPr="00556DB2">
        <w:rPr>
          <w:b/>
          <w:bCs/>
        </w:rPr>
        <w:t xml:space="preserve"> </w:t>
      </w:r>
      <w:proofErr w:type="spellStart"/>
      <w:r w:rsidRPr="00556DB2">
        <w:rPr>
          <w:b/>
          <w:bCs/>
        </w:rPr>
        <w:t>Individual</w:t>
      </w:r>
      <w:proofErr w:type="spellEnd"/>
      <w:r w:rsidRPr="00556DB2">
        <w:rPr>
          <w:b/>
          <w:bCs/>
        </w:rPr>
        <w:t xml:space="preserve"> </w:t>
      </w:r>
      <w:proofErr w:type="spellStart"/>
      <w:r w:rsidRPr="00556DB2">
        <w:rPr>
          <w:b/>
          <w:bCs/>
        </w:rPr>
        <w:t>Tridem</w:t>
      </w:r>
      <w:proofErr w:type="spellEnd"/>
      <w:r w:rsidRPr="00556DB2">
        <w:t xml:space="preserve"> (25 000 literes) tartálykocsikat alkalmaz, amelyekre </w:t>
      </w:r>
      <w:proofErr w:type="spellStart"/>
      <w:r w:rsidRPr="00556DB2">
        <w:rPr>
          <w:b/>
          <w:bCs/>
        </w:rPr>
        <w:t>Fliegl</w:t>
      </w:r>
      <w:proofErr w:type="spellEnd"/>
      <w:r w:rsidRPr="00556DB2">
        <w:rPr>
          <w:b/>
          <w:bCs/>
        </w:rPr>
        <w:t xml:space="preserve"> </w:t>
      </w:r>
      <w:proofErr w:type="spellStart"/>
      <w:r w:rsidRPr="00556DB2">
        <w:rPr>
          <w:b/>
          <w:bCs/>
        </w:rPr>
        <w:t>Maulwulf</w:t>
      </w:r>
      <w:proofErr w:type="spellEnd"/>
      <w:r w:rsidRPr="00556DB2">
        <w:t xml:space="preserve"> tárcsás, vagy </w:t>
      </w:r>
      <w:proofErr w:type="spellStart"/>
      <w:r w:rsidRPr="00556DB2">
        <w:rPr>
          <w:b/>
          <w:bCs/>
        </w:rPr>
        <w:t>Fliegl</w:t>
      </w:r>
      <w:proofErr w:type="spellEnd"/>
      <w:r w:rsidRPr="00556DB2">
        <w:rPr>
          <w:b/>
          <w:bCs/>
        </w:rPr>
        <w:t xml:space="preserve"> GUG</w:t>
      </w:r>
      <w:r w:rsidRPr="00556DB2">
        <w:t xml:space="preserve"> kultivátoros mélyinjektor egységek vannak szerelve. A gépek a homogén hígtrágyát közvetlenül a talajfelszín alá, </w:t>
      </w:r>
      <w:r w:rsidRPr="00556DB2">
        <w:rPr>
          <w:b/>
          <w:bCs/>
        </w:rPr>
        <w:t>5–10 cm mélységbe, zárt barázdákba</w:t>
      </w:r>
      <w:r w:rsidRPr="00556DB2">
        <w:t xml:space="preserve"> préselik be, amit a tárcsasor azonnal lefed. Ez a zárt láncú kijuttatás a hagyományos felszíni szóráshoz képest </w:t>
      </w:r>
      <w:r w:rsidRPr="00556DB2">
        <w:rPr>
          <w:b/>
          <w:bCs/>
        </w:rPr>
        <w:t>85-90%-os bűz- és ammónia-emissziós elfojtást</w:t>
      </w:r>
      <w:r w:rsidRPr="00556DB2">
        <w:t xml:space="preserve"> biztosít a külső területeken.</w:t>
      </w:r>
    </w:p>
    <w:p w14:paraId="66AA5F83" w14:textId="69DA9AAF" w:rsidR="00244267" w:rsidRDefault="002D7FF3" w:rsidP="002D7FF3">
      <w:pPr>
        <w:pStyle w:val="Cmsor1"/>
      </w:pPr>
      <w:bookmarkStart w:id="10" w:name="_Toc231161032"/>
      <w:r w:rsidRPr="002D7FF3">
        <w:t>Fajlagos és összesített szagkibocsátás (Forráserősség) számításának módszertana és jogszabályi megfelelősége</w:t>
      </w:r>
      <w:bookmarkEnd w:id="10"/>
    </w:p>
    <w:p w14:paraId="0FC294BA" w14:textId="19F68AF4" w:rsidR="00244267" w:rsidRDefault="009B7E6C" w:rsidP="00D8220C">
      <w:r w:rsidRPr="009B7E6C">
        <w:t>Jelen fejezet tartalmazza a forráserősségek meghatározásának elméleti hátterét, számszerűsített levezetését, valamint elvégzi az alkalmazott eljárás szigorú jogszabályi és módszertani megfelelőségi ellenőrzését a hatályos hazai és uniós normáknak megfelelően.</w:t>
      </w:r>
    </w:p>
    <w:p w14:paraId="7CDFA8DC" w14:textId="41EF6095" w:rsidR="006D680C" w:rsidRDefault="006D680C" w:rsidP="006D680C">
      <w:pPr>
        <w:pStyle w:val="Cmsor2"/>
      </w:pPr>
      <w:bookmarkStart w:id="11" w:name="_Toc231161033"/>
      <w:r w:rsidRPr="006D680C">
        <w:t>A jogszabályi és szakmai módszertan megfelelőségi ellenőrzése</w:t>
      </w:r>
      <w:bookmarkEnd w:id="11"/>
    </w:p>
    <w:p w14:paraId="5C4EAA50" w14:textId="4A2AD786" w:rsidR="006D5D47" w:rsidRDefault="00A75257" w:rsidP="006D680C">
      <w:pPr>
        <w:pStyle w:val="Cmsor3"/>
      </w:pPr>
      <w:bookmarkStart w:id="12" w:name="_Toc231161034"/>
      <w:r w:rsidRPr="00A75257">
        <w:t>Jogi megfelelőség a tervezési irányértékek tekintetében</w:t>
      </w:r>
      <w:bookmarkEnd w:id="12"/>
    </w:p>
    <w:p w14:paraId="5E1DD681" w14:textId="77777777" w:rsidR="00A75257" w:rsidRPr="00A75257" w:rsidRDefault="00A75257" w:rsidP="00A75257">
      <w:r w:rsidRPr="00A75257">
        <w:t xml:space="preserve">A szaghatás környezeti megítélésének és a szagvédelmi hatásterület lehatárolásának alapját a </w:t>
      </w:r>
      <w:r w:rsidRPr="00A75257">
        <w:rPr>
          <w:b/>
          <w:bCs/>
        </w:rPr>
        <w:t>4/2011. (I. 14.) VM rendelet 2. melléklete</w:t>
      </w:r>
      <w:r w:rsidRPr="00A75257">
        <w:t xml:space="preserve"> (Bűzkibocsátással járó tevékenységek tervezési irányértékei) szabályozza. A jogszabályi mátrix alapján a telephelyi tevékenységek az alábbiak szerint felelnek meg a rendelet előírásainak:</w:t>
      </w:r>
    </w:p>
    <w:p w14:paraId="39BB0069" w14:textId="753DF8C6" w:rsidR="00A75257" w:rsidRPr="00A75257" w:rsidRDefault="00A75257">
      <w:pPr>
        <w:numPr>
          <w:ilvl w:val="0"/>
          <w:numId w:val="14"/>
        </w:numPr>
      </w:pPr>
      <w:r w:rsidRPr="00A75257">
        <w:rPr>
          <w:b/>
          <w:bCs/>
        </w:rPr>
        <w:t>Állattartás tevékenységi kategória:</w:t>
      </w:r>
      <w:r w:rsidRPr="00A75257">
        <w:t xml:space="preserve"> A rendelet a klasszikus állattenyésztési és tartástechnológiai forrásokra – jelen esetben a 4 db tervezett modern hízóistálló épületre és az 1500 m³-es külső hígtrágyatároló körműtárgyra – </w:t>
      </w:r>
      <w:r w:rsidRPr="00A75257">
        <w:rPr>
          <w:b/>
          <w:bCs/>
        </w:rPr>
        <w:t>3,0 SZE/m³</w:t>
      </w:r>
      <w:r w:rsidRPr="00A75257">
        <w:t xml:space="preserve"> (szagegység per köbméter) környezeti tervezési irányértéket ír elő. A </w:t>
      </w:r>
      <w:r w:rsidRPr="00A75257">
        <w:rPr>
          <w:b/>
          <w:bCs/>
        </w:rPr>
        <w:t>Hatástávolság 8.0.0.12</w:t>
      </w:r>
      <w:r w:rsidRPr="00A75257">
        <w:t xml:space="preserve"> program diszperziós moduljában a védőtávolságok kiszámítása és a transzmissziós </w:t>
      </w:r>
      <w:proofErr w:type="spellStart"/>
      <w:r w:rsidRPr="00A75257">
        <w:t>izovonalak</w:t>
      </w:r>
      <w:proofErr w:type="spellEnd"/>
      <w:r w:rsidRPr="00A75257">
        <w:t xml:space="preserve"> térbeli lehatárolása szigorúan ehhez a</w:t>
      </w:r>
      <w:r w:rsidRPr="00A75257">
        <w:rPr>
          <w:b/>
          <w:bCs/>
        </w:rPr>
        <w:t>3,0 SZE/m³</w:t>
      </w:r>
      <w:r w:rsidRPr="00A75257">
        <w:t xml:space="preserve">-es </w:t>
      </w:r>
      <w:proofErr w:type="spellStart"/>
      <w:r w:rsidRPr="00A75257">
        <w:t>imissziós</w:t>
      </w:r>
      <w:proofErr w:type="spellEnd"/>
      <w:r w:rsidRPr="00A75257">
        <w:t xml:space="preserve"> határértékhez igazodik, biztosítva a tökéletes jogszabályi megfelelőséget.</w:t>
      </w:r>
    </w:p>
    <w:p w14:paraId="560B850C" w14:textId="77B97F55" w:rsidR="00A75257" w:rsidRPr="00A75257" w:rsidRDefault="00A75257">
      <w:pPr>
        <w:numPr>
          <w:ilvl w:val="0"/>
          <w:numId w:val="14"/>
        </w:numPr>
      </w:pPr>
      <w:r w:rsidRPr="00A75257">
        <w:rPr>
          <w:b/>
          <w:bCs/>
        </w:rPr>
        <w:t>Állati maradványokkal folytatott tevékenység kategória:</w:t>
      </w:r>
      <w:r w:rsidRPr="00A75257">
        <w:t xml:space="preserve"> Az elhullott állatok gyűjtésére és megsemmisítésére a jogszabály szigorúbb, </w:t>
      </w:r>
      <w:r w:rsidRPr="00A75257">
        <w:rPr>
          <w:b/>
          <w:bCs/>
        </w:rPr>
        <w:t>1,5 SZE/m³</w:t>
      </w:r>
      <w:r w:rsidRPr="00A75257">
        <w:t xml:space="preserve"> környezeti tervezési irányértéket határoz meg. A telepen üzembe helyezendő </w:t>
      </w:r>
      <w:proofErr w:type="spellStart"/>
      <w:r w:rsidRPr="00A75257">
        <w:t>Euratainer</w:t>
      </w:r>
      <w:proofErr w:type="spellEnd"/>
      <w:r w:rsidRPr="00A75257">
        <w:t xml:space="preserve"> hőszigetelt, +4 °C és +8 °C közötti sokkhűtést biztosító hullatároló kabin, valamint a </w:t>
      </w:r>
      <w:proofErr w:type="spellStart"/>
      <w:r w:rsidRPr="00A75257">
        <w:t>Bentley</w:t>
      </w:r>
      <w:proofErr w:type="spellEnd"/>
      <w:r w:rsidRPr="00A75257">
        <w:t xml:space="preserve"> 1000 AIS 064 </w:t>
      </w:r>
      <w:proofErr w:type="spellStart"/>
      <w:r w:rsidRPr="00A75257">
        <w:t>Cyclone</w:t>
      </w:r>
      <w:proofErr w:type="spellEnd"/>
      <w:r w:rsidRPr="00A75257">
        <w:t xml:space="preserve"> típusú, minimum 850 °C – 1000 °C közötti kétkamrás termikus utóégetéssel rendelkező tetemégető berendezés technológiai zártsága és gépészeti hatásfoka miatt ezek a kiegészítő források </w:t>
      </w:r>
      <w:r w:rsidRPr="00A75257">
        <w:rPr>
          <w:b/>
          <w:bCs/>
        </w:rPr>
        <w:t xml:space="preserve">igazoltan közel nulla bűzkibocsátásúak (Q </w:t>
      </w:r>
      <w:r w:rsidR="00E459D3">
        <w:rPr>
          <w:b/>
          <w:bCs/>
        </w:rPr>
        <w:t xml:space="preserve">≈ </w:t>
      </w:r>
      <w:r w:rsidRPr="00A75257">
        <w:rPr>
          <w:b/>
          <w:bCs/>
        </w:rPr>
        <w:t>0 SZE/s)</w:t>
      </w:r>
      <w:r w:rsidRPr="00A75257">
        <w:t>. Mivel a környező légtérbe jutó szagáramuk elhanyagolható, a transzmissziós modellben önálló bűzforrásként nem generálnak hatástávolságot, így nem terhelik és nem módosítják a domináns állattartási források által meghatározott telepi bűzvédelmi övezethatárt.</w:t>
      </w:r>
    </w:p>
    <w:p w14:paraId="07E254B6" w14:textId="4D41C661" w:rsidR="006D5D47" w:rsidRDefault="00E459D3" w:rsidP="006D680C">
      <w:pPr>
        <w:pStyle w:val="Cmsor3"/>
      </w:pPr>
      <w:bookmarkStart w:id="13" w:name="_Toc231161035"/>
      <w:r w:rsidRPr="00E459D3">
        <w:lastRenderedPageBreak/>
        <w:t>Szakmai megfelelőség a modellezési szabványok tekintetében</w:t>
      </w:r>
      <w:bookmarkEnd w:id="13"/>
    </w:p>
    <w:p w14:paraId="4DDA9ED2" w14:textId="77777777" w:rsidR="00E459D3" w:rsidRPr="00E459D3" w:rsidRDefault="00E459D3" w:rsidP="00E459D3">
      <w:r w:rsidRPr="00E459D3">
        <w:t xml:space="preserve">A szaganyagok légköri diszperziójának (szóródásának) modellezésére alkalmazott </w:t>
      </w:r>
      <w:r w:rsidRPr="00E459D3">
        <w:rPr>
          <w:b/>
          <w:bCs/>
        </w:rPr>
        <w:t>Hatástávolság 8.0.0.12</w:t>
      </w:r>
      <w:r w:rsidRPr="00E459D3">
        <w:t xml:space="preserve"> szakértői szoftver matematikai algoritmusa nemzetközileg és </w:t>
      </w:r>
      <w:proofErr w:type="spellStart"/>
      <w:r w:rsidRPr="00E459D3">
        <w:t>hazailag</w:t>
      </w:r>
      <w:proofErr w:type="spellEnd"/>
      <w:r w:rsidRPr="00E459D3">
        <w:t xml:space="preserve"> elismert szabványokon alapul, biztosítva a kapott output adatok hitelességét:</w:t>
      </w:r>
    </w:p>
    <w:p w14:paraId="570BB97A" w14:textId="77777777" w:rsidR="00E459D3" w:rsidRPr="00E459D3" w:rsidRDefault="00E459D3">
      <w:pPr>
        <w:numPr>
          <w:ilvl w:val="0"/>
          <w:numId w:val="15"/>
        </w:numPr>
      </w:pPr>
      <w:r w:rsidRPr="00E459D3">
        <w:rPr>
          <w:b/>
          <w:bCs/>
        </w:rPr>
        <w:t>MSZ 21457/4:1980 szabvány szerinti megfelelőség:</w:t>
      </w:r>
      <w:r w:rsidRPr="00E459D3">
        <w:t xml:space="preserve"> A program a gázhalmazállapotú légszennyező és bűzanyagok szélirány menti transzmisszióját a Kettős Gauss-féle eloszlási modell alapján számítja ki a forrás tengelyétől mért távolság függvényében, ami a hazai meteorológiai viszonyok mellett a legmegbízhatóbb becslést nyújtja.</w:t>
      </w:r>
    </w:p>
    <w:p w14:paraId="77D75954" w14:textId="024E50AC" w:rsidR="00E459D3" w:rsidRPr="00E459D3" w:rsidRDefault="00E459D3">
      <w:pPr>
        <w:numPr>
          <w:ilvl w:val="0"/>
          <w:numId w:val="15"/>
        </w:numPr>
      </w:pPr>
      <w:r w:rsidRPr="00E459D3">
        <w:rPr>
          <w:b/>
          <w:bCs/>
        </w:rPr>
        <w:t>MSZ 21459/1, 2-1981 szabvány szerinti megfelelőség:</w:t>
      </w:r>
      <w:r w:rsidRPr="00E459D3">
        <w:t xml:space="preserve"> A szoftver a légköri stabilitási osztályok (Szepesi-féle kategóriák) és a felületi érdességi tényezők (z</w:t>
      </w:r>
      <w:r w:rsidRPr="006D680C">
        <w:rPr>
          <w:vertAlign w:val="subscript"/>
        </w:rPr>
        <w:t>0</w:t>
      </w:r>
      <w:r w:rsidRPr="00E459D3">
        <w:t>) kezelése során pontosan leköveti a hazai terjedésbecslési szabványok paramétereit.</w:t>
      </w:r>
    </w:p>
    <w:p w14:paraId="1B8AEDD2" w14:textId="77777777" w:rsidR="00E459D3" w:rsidRPr="00E459D3" w:rsidRDefault="00E459D3">
      <w:pPr>
        <w:numPr>
          <w:ilvl w:val="0"/>
          <w:numId w:val="15"/>
        </w:numPr>
      </w:pPr>
      <w:r w:rsidRPr="00E459D3">
        <w:rPr>
          <w:b/>
          <w:bCs/>
        </w:rPr>
        <w:t>MSZ EN 13725:2022 szabvány szerinti megfelelőség:</w:t>
      </w:r>
      <w:r w:rsidRPr="00E459D3">
        <w:t xml:space="preserve"> A forráserősségek és </w:t>
      </w:r>
      <w:proofErr w:type="spellStart"/>
      <w:r w:rsidRPr="00E459D3">
        <w:t>imissziós</w:t>
      </w:r>
      <w:proofErr w:type="spellEnd"/>
      <w:r w:rsidRPr="00E459D3">
        <w:t xml:space="preserve"> koncentrációk mértékegységeként használt </w:t>
      </w:r>
      <w:r w:rsidRPr="00E459D3">
        <w:rPr>
          <w:b/>
          <w:bCs/>
        </w:rPr>
        <w:t>Szagegység (SZE)</w:t>
      </w:r>
      <w:r w:rsidRPr="00E459D3">
        <w:t xml:space="preserve"> alkalmazása teljes számszaki összhangban áll a dinamikus </w:t>
      </w:r>
      <w:proofErr w:type="spellStart"/>
      <w:r w:rsidRPr="00E459D3">
        <w:t>olfaktometriai</w:t>
      </w:r>
      <w:proofErr w:type="spellEnd"/>
      <w:r w:rsidRPr="00E459D3">
        <w:t xml:space="preserve"> mérések európai szabványával.</w:t>
      </w:r>
    </w:p>
    <w:p w14:paraId="5E176DB7" w14:textId="6E2110B5" w:rsidR="006D5D47" w:rsidRDefault="006D680C" w:rsidP="006D680C">
      <w:pPr>
        <w:pStyle w:val="Cmsor3"/>
      </w:pPr>
      <w:bookmarkStart w:id="14" w:name="_Toc231161036"/>
      <w:r w:rsidRPr="006D680C">
        <w:t xml:space="preserve">Az Elérhető Legjobb Technikák (BAT) és a mikrobiológiai </w:t>
      </w:r>
      <w:proofErr w:type="spellStart"/>
      <w:r w:rsidRPr="006D680C">
        <w:t>mitigáció</w:t>
      </w:r>
      <w:proofErr w:type="spellEnd"/>
      <w:r w:rsidRPr="006D680C">
        <w:t xml:space="preserve"> elve</w:t>
      </w:r>
      <w:bookmarkEnd w:id="14"/>
    </w:p>
    <w:p w14:paraId="2A20E794" w14:textId="77777777" w:rsidR="006D680C" w:rsidRDefault="006D680C" w:rsidP="006D680C">
      <w:pPr>
        <w:rPr>
          <w:rFonts w:ascii="Times New Roman" w:hAnsi="Times New Roman" w:cs="Times New Roman"/>
        </w:rPr>
      </w:pPr>
      <w:r>
        <w:t xml:space="preserve">A módszertani megfelelőség kritikus eleme, hogy az üzem kibocsátási számainál közvetlenül integráltuk az Európai Bizottság </w:t>
      </w:r>
      <w:r>
        <w:rPr>
          <w:b/>
          <w:bCs/>
        </w:rPr>
        <w:t xml:space="preserve">(EU) 2017/302 </w:t>
      </w:r>
      <w:proofErr w:type="spellStart"/>
      <w:r>
        <w:rPr>
          <w:b/>
          <w:bCs/>
        </w:rPr>
        <w:t>végrehaztási</w:t>
      </w:r>
      <w:proofErr w:type="spellEnd"/>
      <w:r>
        <w:rPr>
          <w:b/>
          <w:bCs/>
        </w:rPr>
        <w:t xml:space="preserve"> határozatában</w:t>
      </w:r>
      <w:r>
        <w:t xml:space="preserve"> (Intenzív állattartás BAT-következtetései) rögzített kibocsátás-csökkentési elveket (BAT 12, 13 és 16). A váltakozó </w:t>
      </w:r>
      <w:proofErr w:type="spellStart"/>
      <w:r>
        <w:t>duzzasztású</w:t>
      </w:r>
      <w:proofErr w:type="spellEnd"/>
      <w:r>
        <w:t>, gravitációs és üledékmentes zárt csővezetékes hígtrágya-eltávolítás és a külső tározó körműtárgy gázzáró, rugalmas ponyvafedése fizikai gátat szab az emissziónak.</w:t>
      </w:r>
    </w:p>
    <w:p w14:paraId="4B60F3BA" w14:textId="77777777" w:rsidR="006D680C" w:rsidRDefault="006D680C" w:rsidP="006D680C">
      <w:r>
        <w:t xml:space="preserve">Ezt egészíti ki a </w:t>
      </w:r>
      <w:proofErr w:type="spellStart"/>
      <w:r>
        <w:t>BioAmp</w:t>
      </w:r>
      <w:proofErr w:type="spellEnd"/>
      <w:r>
        <w:t xml:space="preserve"> 300 automatizált </w:t>
      </w:r>
      <w:proofErr w:type="spellStart"/>
      <w:r>
        <w:t>biogenerátor</w:t>
      </w:r>
      <w:proofErr w:type="spellEnd"/>
      <w:r>
        <w:t xml:space="preserve"> által biztosított folyamatos </w:t>
      </w:r>
      <w:proofErr w:type="spellStart"/>
      <w:r>
        <w:t>FreeFlow</w:t>
      </w:r>
      <w:proofErr w:type="spellEnd"/>
      <w:r>
        <w:t xml:space="preserve">™ </w:t>
      </w:r>
      <w:proofErr w:type="spellStart"/>
      <w:r>
        <w:t>Extreme</w:t>
      </w:r>
      <w:proofErr w:type="spellEnd"/>
      <w:r>
        <w:t xml:space="preserve"> baktériumkezelés, amelynek </w:t>
      </w:r>
      <w:proofErr w:type="spellStart"/>
      <w:r>
        <w:t>uretáz</w:t>
      </w:r>
      <w:proofErr w:type="spellEnd"/>
      <w:r>
        <w:t xml:space="preserve">-inhibitor hatása a nitrogént a folyadékfázisban rögzíti, és az ágazati szakirodalom által igazolt módon </w:t>
      </w:r>
      <w:r>
        <w:rPr>
          <w:b/>
          <w:bCs/>
        </w:rPr>
        <w:t>60–70%-os bűz- és ammónia-redukciót</w:t>
      </w:r>
      <w:r>
        <w:t xml:space="preserve"> eredményez a forrásnál, így teljes mértékben indokolja a korrigált fajlagos tényező alkalmazását.</w:t>
      </w:r>
    </w:p>
    <w:p w14:paraId="734F4F33" w14:textId="3C051CFF" w:rsidR="006D5D47" w:rsidRDefault="008C3F93" w:rsidP="008C3F93">
      <w:pPr>
        <w:pStyle w:val="Cmsor2"/>
      </w:pPr>
      <w:bookmarkStart w:id="15" w:name="_Toc231161037"/>
      <w:r w:rsidRPr="008C3F93">
        <w:t>Az állatállomány átszámítása Állategységre (</w:t>
      </w:r>
      <w:r>
        <w:t>Á</w:t>
      </w:r>
      <w:r w:rsidRPr="008C3F93">
        <w:t>E)</w:t>
      </w:r>
      <w:bookmarkEnd w:id="15"/>
    </w:p>
    <w:p w14:paraId="5ED355A5" w14:textId="24B67F14" w:rsidR="008C3F93" w:rsidRPr="008C3F93" w:rsidRDefault="008C3F93" w:rsidP="008C3F93">
      <w:r w:rsidRPr="008C3F93">
        <w:t xml:space="preserve">A fizikai állatlétszámot (darabszám) a levegőtisztaság-védelmi tervezési gyakorlatnak megfelelően egységesített ágazati egyenértékre, úgynevezett </w:t>
      </w:r>
      <w:r w:rsidRPr="008C3F93">
        <w:rPr>
          <w:b/>
          <w:bCs/>
        </w:rPr>
        <w:t>Állategységre (</w:t>
      </w:r>
      <w:r>
        <w:rPr>
          <w:b/>
          <w:bCs/>
        </w:rPr>
        <w:t>Á</w:t>
      </w:r>
      <w:r w:rsidRPr="008C3F93">
        <w:rPr>
          <w:b/>
          <w:bCs/>
        </w:rPr>
        <w:t>E)</w:t>
      </w:r>
      <w:r w:rsidRPr="008C3F93">
        <w:t xml:space="preserve"> kell átszámítani, mivel a különböző súlycsoportú </w:t>
      </w:r>
      <w:proofErr w:type="spellStart"/>
      <w:r w:rsidRPr="008C3F93">
        <w:t>egyedek</w:t>
      </w:r>
      <w:proofErr w:type="spellEnd"/>
      <w:r w:rsidRPr="008C3F93">
        <w:t xml:space="preserve"> szagemissziós potenciálja eltérő.</w:t>
      </w:r>
    </w:p>
    <w:p w14:paraId="6C898FE8" w14:textId="15F6D911" w:rsidR="008C3F93" w:rsidRPr="008C3F93" w:rsidRDefault="008C3F93">
      <w:pPr>
        <w:numPr>
          <w:ilvl w:val="0"/>
          <w:numId w:val="16"/>
        </w:numPr>
      </w:pPr>
      <w:r w:rsidRPr="008C3F93">
        <w:rPr>
          <w:b/>
          <w:bCs/>
        </w:rPr>
        <w:t>A tervezett állatállomány:</w:t>
      </w:r>
      <w:r w:rsidRPr="008C3F93">
        <w:t xml:space="preserve"> 4 db modern istállóépületben elhelyezett, egyidejűleg összesen </w:t>
      </w:r>
      <w:r w:rsidRPr="008C3F93">
        <w:rPr>
          <w:b/>
          <w:bCs/>
        </w:rPr>
        <w:t>5200 férőhelyes hízósertés</w:t>
      </w:r>
      <w:r w:rsidRPr="008C3F93">
        <w:t>-állomány (35–135 k</w:t>
      </w:r>
      <w:r>
        <w:t>g</w:t>
      </w:r>
      <w:r w:rsidRPr="008C3F93">
        <w:t xml:space="preserve"> közötti súlycsoportban).</w:t>
      </w:r>
    </w:p>
    <w:p w14:paraId="74629683" w14:textId="3B0F62C4" w:rsidR="008C3F93" w:rsidRPr="008C3F93" w:rsidRDefault="008C3F93">
      <w:pPr>
        <w:numPr>
          <w:ilvl w:val="0"/>
          <w:numId w:val="16"/>
        </w:numPr>
      </w:pPr>
      <w:r w:rsidRPr="008C3F93">
        <w:rPr>
          <w:b/>
          <w:bCs/>
        </w:rPr>
        <w:t>Jogszabályi átszámítási szorzó:</w:t>
      </w:r>
      <w:r w:rsidRPr="008C3F93">
        <w:t xml:space="preserve"> A hazai hatósági engedélyezési gyakorlatban a 35</w:t>
      </w:r>
      <w:r>
        <w:t xml:space="preserve"> </w:t>
      </w:r>
      <w:r w:rsidRPr="008C3F93">
        <w:t xml:space="preserve">kg feletti hízósertésekre vonatkozó standard súlyozási faktor </w:t>
      </w:r>
      <w:r w:rsidRPr="008C3F93">
        <w:rPr>
          <w:b/>
          <w:bCs/>
        </w:rPr>
        <w:t xml:space="preserve">0,30 </w:t>
      </w:r>
      <w:r>
        <w:rPr>
          <w:b/>
          <w:bCs/>
        </w:rPr>
        <w:t>Á</w:t>
      </w:r>
      <w:r w:rsidRPr="008C3F93">
        <w:rPr>
          <w:b/>
          <w:bCs/>
        </w:rPr>
        <w:t>E/állat</w:t>
      </w:r>
      <w:r w:rsidRPr="008C3F93">
        <w:t>.</w:t>
      </w:r>
    </w:p>
    <w:p w14:paraId="05351AB3" w14:textId="7D7C565E" w:rsidR="008C3F93" w:rsidRPr="008C3F93" w:rsidRDefault="008C3F93" w:rsidP="008C3F93">
      <w:r w:rsidRPr="008C3F93">
        <w:rPr>
          <w:b/>
          <w:bCs/>
        </w:rPr>
        <w:t>A telephely teljes elméleti kapacitása Állategységben kifejezve (</w:t>
      </w:r>
      <w:r w:rsidR="00FC1C03">
        <w:rPr>
          <w:b/>
          <w:bCs/>
        </w:rPr>
        <w:t>Á</w:t>
      </w:r>
      <w:r w:rsidRPr="008C3F93">
        <w:rPr>
          <w:b/>
          <w:bCs/>
        </w:rPr>
        <w:t>E):</w:t>
      </w:r>
    </w:p>
    <w:p w14:paraId="61DCEFBE" w14:textId="77777777" w:rsidR="00FC1C03" w:rsidRDefault="00FC1C03" w:rsidP="00FC1C03">
      <w:pPr>
        <w:jc w:val="center"/>
      </w:pPr>
      <w:r>
        <w:t>5200 férőhely * 0,30 AE/állat = 1560 ÁE</w:t>
      </w:r>
    </w:p>
    <w:p w14:paraId="61C821B9" w14:textId="77777777" w:rsidR="00FC1C03" w:rsidRDefault="00FC1C03" w:rsidP="00FC1C03">
      <w:r w:rsidRPr="00E4795D">
        <w:t xml:space="preserve">Ez az </w:t>
      </w:r>
      <w:r w:rsidRPr="00E4795D">
        <w:rPr>
          <w:b/>
          <w:bCs/>
        </w:rPr>
        <w:t xml:space="preserve">1560 </w:t>
      </w:r>
      <w:r>
        <w:rPr>
          <w:b/>
          <w:bCs/>
        </w:rPr>
        <w:t>Á</w:t>
      </w:r>
      <w:r w:rsidRPr="00E4795D">
        <w:rPr>
          <w:b/>
          <w:bCs/>
        </w:rPr>
        <w:t>E</w:t>
      </w:r>
      <w:r w:rsidRPr="00E4795D">
        <w:t xml:space="preserve"> érték jelenti azt a fix biológiai bázist, amelyre a fajlagos szagkibocsátási tényezőket rávetítjük.</w:t>
      </w:r>
    </w:p>
    <w:p w14:paraId="2D629B7D" w14:textId="2ECC2A37" w:rsidR="00E459D3" w:rsidRDefault="00AC477F" w:rsidP="00FC1C03">
      <w:pPr>
        <w:pStyle w:val="Cmsor2"/>
      </w:pPr>
      <w:bookmarkStart w:id="16" w:name="_Toc231161038"/>
      <w:r w:rsidRPr="00AC477F">
        <w:lastRenderedPageBreak/>
        <w:t xml:space="preserve">A kiindulási alapérték és a </w:t>
      </w:r>
      <w:proofErr w:type="spellStart"/>
      <w:r w:rsidRPr="00AC477F">
        <w:t>BioAmp</w:t>
      </w:r>
      <w:proofErr w:type="spellEnd"/>
      <w:r w:rsidRPr="00AC477F">
        <w:t>™ kibocsátás-csökkentés levezetése</w:t>
      </w:r>
      <w:r w:rsidR="000C18A4">
        <w:t xml:space="preserve"> - állattartás</w:t>
      </w:r>
      <w:bookmarkEnd w:id="16"/>
    </w:p>
    <w:p w14:paraId="33281CD2" w14:textId="5AA631B7" w:rsidR="00AC477F" w:rsidRPr="00AC477F" w:rsidRDefault="00AC477F" w:rsidP="00AC477F">
      <w:r w:rsidRPr="00AC477F">
        <w:t xml:space="preserve">A modellezés számszaki </w:t>
      </w:r>
      <w:r>
        <w:t>alapját</w:t>
      </w:r>
      <w:r w:rsidRPr="00AC477F">
        <w:t xml:space="preserve"> a forráserősség reális meghatározása jelenti. Jelen szakvélemény alaptézise szerint a kiindulási bázist a szoftver hivatalos, kezeletlen normatív értéke adja, amelyet korrigálunk a beépítésre kerülő </w:t>
      </w:r>
      <w:proofErr w:type="spellStart"/>
      <w:r w:rsidRPr="00AC477F">
        <w:t>high-tech</w:t>
      </w:r>
      <w:proofErr w:type="spellEnd"/>
      <w:r w:rsidRPr="00AC477F">
        <w:t xml:space="preserve"> </w:t>
      </w:r>
      <w:proofErr w:type="spellStart"/>
      <w:r w:rsidRPr="00AC477F">
        <w:t>mitigáció</w:t>
      </w:r>
      <w:proofErr w:type="spellEnd"/>
      <w:r w:rsidRPr="00AC477F">
        <w:t xml:space="preserve"> igazolt hatásfokával:</w:t>
      </w:r>
    </w:p>
    <w:p w14:paraId="24E6694D" w14:textId="5E33833D" w:rsidR="00AC477F" w:rsidRPr="00AC477F" w:rsidRDefault="00AC477F">
      <w:pPr>
        <w:numPr>
          <w:ilvl w:val="0"/>
          <w:numId w:val="18"/>
        </w:numPr>
      </w:pPr>
      <w:r w:rsidRPr="00AC477F">
        <w:rPr>
          <w:b/>
          <w:bCs/>
        </w:rPr>
        <w:t>Nyers szoftveres fajlagos alapérték (</w:t>
      </w:r>
      <w:proofErr w:type="spellStart"/>
      <w:r w:rsidRPr="00AC477F">
        <w:rPr>
          <w:b/>
          <w:bCs/>
        </w:rPr>
        <w:t>f</w:t>
      </w:r>
      <w:r w:rsidRPr="00AC477F">
        <w:rPr>
          <w:b/>
          <w:bCs/>
          <w:vertAlign w:val="subscript"/>
        </w:rPr>
        <w:t>nyers</w:t>
      </w:r>
      <w:proofErr w:type="spellEnd"/>
      <w:r w:rsidRPr="00AC477F">
        <w:rPr>
          <w:b/>
          <w:bCs/>
        </w:rPr>
        <w:t>):</w:t>
      </w:r>
      <w:r w:rsidRPr="00AC477F">
        <w:t xml:space="preserve"> A </w:t>
      </w:r>
      <w:r w:rsidRPr="00AC477F">
        <w:rPr>
          <w:b/>
          <w:bCs/>
        </w:rPr>
        <w:t>Hatástávolság 8.0.0.12</w:t>
      </w:r>
      <w:r w:rsidRPr="00AC477F">
        <w:t xml:space="preserve"> szakértői program belső, </w:t>
      </w:r>
      <w:proofErr w:type="spellStart"/>
      <w:r w:rsidRPr="00AC477F">
        <w:t>validált</w:t>
      </w:r>
      <w:proofErr w:type="spellEnd"/>
      <w:r w:rsidRPr="00AC477F">
        <w:t xml:space="preserve"> adatbázisa alapján a hízósertés-tartás standard, kezeletlen </w:t>
      </w:r>
      <w:r w:rsidRPr="00AC477F">
        <w:rPr>
          <w:b/>
          <w:bCs/>
        </w:rPr>
        <w:t>normál fajlagos bűzkibocsátási tényezője: 10,80 SZE/s/</w:t>
      </w:r>
      <w:r>
        <w:rPr>
          <w:b/>
          <w:bCs/>
        </w:rPr>
        <w:t>Á</w:t>
      </w:r>
      <w:r w:rsidRPr="00AC477F">
        <w:rPr>
          <w:b/>
          <w:bCs/>
        </w:rPr>
        <w:t>E</w:t>
      </w:r>
      <w:r w:rsidRPr="00AC477F">
        <w:t>.</w:t>
      </w:r>
    </w:p>
    <w:p w14:paraId="36626D9D" w14:textId="316CE0F2" w:rsidR="00AC477F" w:rsidRPr="00AC477F" w:rsidRDefault="00AC477F">
      <w:pPr>
        <w:numPr>
          <w:ilvl w:val="0"/>
          <w:numId w:val="18"/>
        </w:numPr>
      </w:pPr>
      <w:r w:rsidRPr="00AC477F">
        <w:rPr>
          <w:b/>
          <w:bCs/>
        </w:rPr>
        <w:t xml:space="preserve">Integrált mikrobiológiai </w:t>
      </w:r>
      <w:proofErr w:type="spellStart"/>
      <w:r w:rsidRPr="00AC477F">
        <w:rPr>
          <w:b/>
          <w:bCs/>
        </w:rPr>
        <w:t>mitigáció</w:t>
      </w:r>
      <w:proofErr w:type="spellEnd"/>
      <w:r w:rsidRPr="00AC477F">
        <w:rPr>
          <w:b/>
          <w:bCs/>
        </w:rPr>
        <w:t xml:space="preserve"> (</w:t>
      </w:r>
      <w:proofErr w:type="spellStart"/>
      <w:r w:rsidRPr="00AC477F">
        <w:rPr>
          <w:b/>
          <w:bCs/>
        </w:rPr>
        <w:t>BioAmp</w:t>
      </w:r>
      <w:proofErr w:type="spellEnd"/>
      <w:r w:rsidRPr="00AC477F">
        <w:rPr>
          <w:b/>
          <w:bCs/>
        </w:rPr>
        <w:t xml:space="preserve"> 300):</w:t>
      </w:r>
      <w:r w:rsidRPr="00AC477F">
        <w:t xml:space="preserve"> A telepen üzembe helyezendő </w:t>
      </w:r>
      <w:proofErr w:type="spellStart"/>
      <w:r w:rsidRPr="00AC477F">
        <w:rPr>
          <w:b/>
          <w:bCs/>
        </w:rPr>
        <w:t>BioAmp</w:t>
      </w:r>
      <w:proofErr w:type="spellEnd"/>
      <w:r w:rsidRPr="00AC477F">
        <w:rPr>
          <w:b/>
          <w:bCs/>
        </w:rPr>
        <w:t xml:space="preserve"> 300</w:t>
      </w:r>
      <w:r w:rsidRPr="00AC477F">
        <w:t xml:space="preserve"> számítógép-vezérelt automata </w:t>
      </w:r>
      <w:proofErr w:type="spellStart"/>
      <w:r w:rsidRPr="00AC477F">
        <w:t>biogenerátor</w:t>
      </w:r>
      <w:proofErr w:type="spellEnd"/>
      <w:r w:rsidRPr="00AC477F">
        <w:t xml:space="preserve"> és a </w:t>
      </w:r>
      <w:proofErr w:type="spellStart"/>
      <w:r w:rsidRPr="00AC477F">
        <w:rPr>
          <w:b/>
          <w:bCs/>
        </w:rPr>
        <w:t>FreeFlow</w:t>
      </w:r>
      <w:proofErr w:type="spellEnd"/>
      <w:r w:rsidRPr="00AC477F">
        <w:rPr>
          <w:b/>
          <w:bCs/>
        </w:rPr>
        <w:t xml:space="preserve">™ </w:t>
      </w:r>
      <w:proofErr w:type="spellStart"/>
      <w:r w:rsidRPr="00AC477F">
        <w:rPr>
          <w:b/>
          <w:bCs/>
        </w:rPr>
        <w:t>Extreme</w:t>
      </w:r>
      <w:proofErr w:type="spellEnd"/>
      <w:r w:rsidRPr="00AC477F">
        <w:t xml:space="preserve"> baktériumkultúra folyamatos adagolást biztosít az istállók belső trágyacsatornáiba. A célzott </w:t>
      </w:r>
      <w:r w:rsidRPr="00AC477F">
        <w:rPr>
          <w:i/>
          <w:iCs/>
        </w:rPr>
        <w:t>Bacillus</w:t>
      </w:r>
      <w:r w:rsidRPr="00AC477F">
        <w:t xml:space="preserve"> törzsek emésztési folyamataik révén folyékonnyá teszik a hígtrágyát, lebontják a felszíni trágyakérget, és </w:t>
      </w:r>
      <w:proofErr w:type="spellStart"/>
      <w:r w:rsidRPr="00AC477F">
        <w:t>uretáz</w:t>
      </w:r>
      <w:proofErr w:type="spellEnd"/>
      <w:r w:rsidRPr="00AC477F">
        <w:t>-inhibitor hatásukkal a nitrogént stabil ammónium-ion (NH</w:t>
      </w:r>
      <w:r w:rsidRPr="00E977F6">
        <w:rPr>
          <w:vertAlign w:val="subscript"/>
        </w:rPr>
        <w:t>4</w:t>
      </w:r>
      <w:r w:rsidRPr="00E977F6">
        <w:rPr>
          <w:vertAlign w:val="superscript"/>
        </w:rPr>
        <w:t>+</w:t>
      </w:r>
      <w:r w:rsidRPr="00AC477F">
        <w:t xml:space="preserve">) formájában a folyadékfázisban tartják vissza. Ez a technológia a szakirodalom és a gyártói specifikációk alapján igazoltan </w:t>
      </w:r>
      <w:r w:rsidRPr="00AC477F">
        <w:rPr>
          <w:b/>
          <w:bCs/>
        </w:rPr>
        <w:t>60%-os közvetlen forrásoldali bűz- és szagáram-elfojtást garantál</w:t>
      </w:r>
      <w:r w:rsidRPr="00AC477F">
        <w:t xml:space="preserve"> (visszamaradó kibocsátási részarány: 40%, azaz </w:t>
      </w:r>
      <w:r w:rsidRPr="00AC477F">
        <w:rPr>
          <w:b/>
          <w:bCs/>
        </w:rPr>
        <w:t>0,40-es hatásfoki szorzó</w:t>
      </w:r>
      <w:r w:rsidRPr="00AC477F">
        <w:t>).</w:t>
      </w:r>
    </w:p>
    <w:p w14:paraId="7913F42D" w14:textId="22C62BF4" w:rsidR="00AC477F" w:rsidRPr="00AC477F" w:rsidRDefault="00AC477F">
      <w:pPr>
        <w:numPr>
          <w:ilvl w:val="0"/>
          <w:numId w:val="18"/>
        </w:numPr>
      </w:pPr>
      <w:r w:rsidRPr="00AC477F">
        <w:rPr>
          <w:b/>
          <w:bCs/>
        </w:rPr>
        <w:t>Tudományos alátámasztás:</w:t>
      </w:r>
      <w:r w:rsidRPr="00AC477F">
        <w:t xml:space="preserve"> A </w:t>
      </w:r>
      <w:proofErr w:type="spellStart"/>
      <w:r w:rsidRPr="00AC477F">
        <w:t>BioAmp</w:t>
      </w:r>
      <w:proofErr w:type="spellEnd"/>
      <w:r w:rsidRPr="00AC477F">
        <w:t xml:space="preserve"> rendszer hígtrágya-stabilizáló, nitrogénrögzítő és gázfázisú emisszió-csökkentő hatását a Miskolci Egyetem Környezettechnikai Intézetében végzett független üzemi és laboratóriumi monitorozási vizsgálatok</w:t>
      </w:r>
      <w:r w:rsidR="00E977F6">
        <w:rPr>
          <w:rStyle w:val="Lbjegyzet-hivatkozs"/>
        </w:rPr>
        <w:footnoteReference w:id="1"/>
      </w:r>
      <w:r w:rsidRPr="00AC477F">
        <w:t xml:space="preserve"> mérési jegyzőkönyvei is tudományosan igazolják.</w:t>
      </w:r>
    </w:p>
    <w:p w14:paraId="0D8B61E1" w14:textId="0ABCC938" w:rsidR="00AC477F" w:rsidRPr="00AC477F" w:rsidRDefault="00AC477F">
      <w:pPr>
        <w:numPr>
          <w:ilvl w:val="0"/>
          <w:numId w:val="18"/>
        </w:numPr>
      </w:pPr>
      <w:r w:rsidRPr="00AC477F">
        <w:rPr>
          <w:b/>
          <w:bCs/>
        </w:rPr>
        <w:t>Tervezési (</w:t>
      </w:r>
      <w:proofErr w:type="spellStart"/>
      <w:r w:rsidRPr="00AC477F">
        <w:rPr>
          <w:b/>
          <w:bCs/>
        </w:rPr>
        <w:t>mitigált</w:t>
      </w:r>
      <w:proofErr w:type="spellEnd"/>
      <w:r w:rsidRPr="00AC477F">
        <w:rPr>
          <w:b/>
          <w:bCs/>
        </w:rPr>
        <w:t>) fajlagos kibocsátási tényező (</w:t>
      </w:r>
      <w:proofErr w:type="spellStart"/>
      <w:r w:rsidRPr="00AC477F">
        <w:rPr>
          <w:b/>
          <w:bCs/>
        </w:rPr>
        <w:t>f</w:t>
      </w:r>
      <w:r w:rsidRPr="00E977F6">
        <w:rPr>
          <w:b/>
          <w:bCs/>
          <w:vertAlign w:val="subscript"/>
        </w:rPr>
        <w:t>tervezési</w:t>
      </w:r>
      <w:proofErr w:type="spellEnd"/>
      <w:r w:rsidRPr="00AC477F">
        <w:rPr>
          <w:b/>
          <w:bCs/>
        </w:rPr>
        <w:t>):</w:t>
      </w:r>
      <w:r w:rsidRPr="00AC477F">
        <w:t xml:space="preserve"> A nyers szoftveres alapérték és a mikrobiológiai hatásfok összevezetéséből adódó nettó tényező:</w:t>
      </w:r>
    </w:p>
    <w:p w14:paraId="1C05330B" w14:textId="7D282A91" w:rsidR="002A693E" w:rsidRDefault="00F1643C" w:rsidP="00F1643C">
      <w:pPr>
        <w:jc w:val="center"/>
      </w:pPr>
      <w:proofErr w:type="spellStart"/>
      <w:r>
        <w:t>f</w:t>
      </w:r>
      <w:r w:rsidRPr="00F1643C">
        <w:rPr>
          <w:vertAlign w:val="subscript"/>
        </w:rPr>
        <w:t>tervezési</w:t>
      </w:r>
      <w:proofErr w:type="spellEnd"/>
      <w:r>
        <w:t xml:space="preserve"> = 10,8 SZE/s/ÁE * (1 - 0,6) = 4,32 SZE/s/ÁE</w:t>
      </w:r>
    </w:p>
    <w:p w14:paraId="3E7A0D1A" w14:textId="04FCFFD7" w:rsidR="00F1643C" w:rsidRPr="00F1643C" w:rsidRDefault="00F1643C" w:rsidP="00F1643C">
      <w:r w:rsidRPr="00F1643C">
        <w:t xml:space="preserve">A fentiek alapján a Hatástávolság program diszperziós moduljába táplálandó, </w:t>
      </w:r>
      <w:proofErr w:type="spellStart"/>
      <w:r w:rsidRPr="00F1643C">
        <w:rPr>
          <w:b/>
          <w:bCs/>
        </w:rPr>
        <w:t>BioAmp</w:t>
      </w:r>
      <w:proofErr w:type="spellEnd"/>
      <w:r w:rsidRPr="00F1643C">
        <w:rPr>
          <w:b/>
          <w:bCs/>
        </w:rPr>
        <w:t xml:space="preserve"> technológiával csökkentett összesített istálló-szagkibocsátási áram (forráserősség, </w:t>
      </w:r>
      <w:proofErr w:type="spellStart"/>
      <w:r>
        <w:rPr>
          <w:b/>
          <w:bCs/>
        </w:rPr>
        <w:t>E</w:t>
      </w:r>
      <w:r w:rsidRPr="00613B80">
        <w:rPr>
          <w:b/>
          <w:bCs/>
          <w:vertAlign w:val="subscript"/>
        </w:rPr>
        <w:t>istállók</w:t>
      </w:r>
      <w:proofErr w:type="spellEnd"/>
      <w:r w:rsidRPr="00F1643C">
        <w:rPr>
          <w:b/>
          <w:bCs/>
        </w:rPr>
        <w:t>)</w:t>
      </w:r>
      <w:r w:rsidRPr="00F1643C">
        <w:t xml:space="preserve"> az alábbi zárt mérnöki egyenleg szerint alakul:</w:t>
      </w:r>
    </w:p>
    <w:p w14:paraId="373E9133" w14:textId="70CD9507" w:rsidR="00AC477F" w:rsidRPr="00613B80" w:rsidRDefault="00613B80" w:rsidP="00613B80">
      <w:pPr>
        <w:jc w:val="center"/>
      </w:pPr>
      <w:proofErr w:type="spellStart"/>
      <w:r w:rsidRPr="00613B80">
        <w:t>E</w:t>
      </w:r>
      <w:r w:rsidRPr="00613B80">
        <w:rPr>
          <w:vertAlign w:val="subscript"/>
        </w:rPr>
        <w:t>istállók</w:t>
      </w:r>
      <w:proofErr w:type="spellEnd"/>
      <w:r w:rsidRPr="00613B80">
        <w:t xml:space="preserve"> = Kapacitás (ÁE) * </w:t>
      </w:r>
      <w:proofErr w:type="spellStart"/>
      <w:r w:rsidRPr="00613B80">
        <w:t>f</w:t>
      </w:r>
      <w:r w:rsidRPr="00613B80">
        <w:rPr>
          <w:vertAlign w:val="subscript"/>
        </w:rPr>
        <w:t>tervezési</w:t>
      </w:r>
      <w:proofErr w:type="spellEnd"/>
      <w:r w:rsidRPr="00613B80">
        <w:t xml:space="preserve"> (SZE/s/ÁE)</w:t>
      </w:r>
    </w:p>
    <w:p w14:paraId="39514AA5" w14:textId="019E676B" w:rsidR="00AC477F" w:rsidRDefault="003E691B" w:rsidP="00613B80">
      <w:pPr>
        <w:jc w:val="center"/>
      </w:pPr>
      <w:proofErr w:type="spellStart"/>
      <w:r w:rsidRPr="00613B80">
        <w:t>E</w:t>
      </w:r>
      <w:r w:rsidRPr="00613B80">
        <w:rPr>
          <w:vertAlign w:val="subscript"/>
        </w:rPr>
        <w:t>istállók</w:t>
      </w:r>
      <w:proofErr w:type="spellEnd"/>
      <w:r w:rsidRPr="00613B80">
        <w:t xml:space="preserve"> =</w:t>
      </w:r>
      <w:r>
        <w:t xml:space="preserve"> 1560 ÁE * 4,32 SZE/s/ÁE = 6739,2 SZE/s</w:t>
      </w:r>
    </w:p>
    <w:p w14:paraId="27CF157B" w14:textId="6524F17C" w:rsidR="000C18A4" w:rsidRDefault="000C18A4" w:rsidP="000C18A4">
      <w:pPr>
        <w:pStyle w:val="Cmsor2"/>
      </w:pPr>
      <w:bookmarkStart w:id="17" w:name="_Toc231161039"/>
      <w:r w:rsidRPr="00AC477F">
        <w:t xml:space="preserve">A kiindulási alapérték és a </w:t>
      </w:r>
      <w:proofErr w:type="spellStart"/>
      <w:r w:rsidRPr="00AC477F">
        <w:t>BioAmp</w:t>
      </w:r>
      <w:proofErr w:type="spellEnd"/>
      <w:r w:rsidRPr="00AC477F">
        <w:t>™ kibocsátás-csökkentés levezetése</w:t>
      </w:r>
      <w:r>
        <w:t xml:space="preserve"> – hígtrágya tárolás</w:t>
      </w:r>
      <w:bookmarkEnd w:id="17"/>
    </w:p>
    <w:p w14:paraId="4A8A8AF7" w14:textId="2F401C18" w:rsidR="000C5F94" w:rsidRPr="000C5F94" w:rsidRDefault="000C5F94" w:rsidP="000C5F94">
      <w:r w:rsidRPr="000C5F94">
        <w:t xml:space="preserve">A telephelyi bűzkibocsátás-mérés és modellezés másik kritikus, elkülöníthető forráscsoportját a homogenizálásra és tartós tárolásra szolgáló külső, monolit vasbeton körműtárgy képezi. A hatósági terjedési modellezés abszolút megbízhatósága és a számszaki zártság érdekében itt is a szakértői szoftver normatív adatbázisából indultunk ki, majd a kapott nyers alapértéket korrigáltuk a telepen kötelezően alkalmazandó kétlépcsős (biológiai és fizikai) </w:t>
      </w:r>
      <w:proofErr w:type="spellStart"/>
      <w:r w:rsidRPr="000C5F94">
        <w:t>mitigációs</w:t>
      </w:r>
      <w:proofErr w:type="spellEnd"/>
      <w:r w:rsidRPr="000C5F94">
        <w:t xml:space="preserve"> lánc kombinált hatásfokával</w:t>
      </w:r>
      <w:r>
        <w:rPr>
          <w:rStyle w:val="Lbjegyzet-hivatkozs"/>
        </w:rPr>
        <w:footnoteReference w:id="2"/>
      </w:r>
      <w:r w:rsidRPr="000C5F94">
        <w:t>.</w:t>
      </w:r>
    </w:p>
    <w:p w14:paraId="4001F0E2" w14:textId="2D87AF58" w:rsidR="000C5F94" w:rsidRPr="000C5F94" w:rsidRDefault="000C5F94">
      <w:pPr>
        <w:numPr>
          <w:ilvl w:val="0"/>
          <w:numId w:val="19"/>
        </w:numPr>
      </w:pPr>
      <w:r w:rsidRPr="000C5F94">
        <w:rPr>
          <w:b/>
          <w:bCs/>
        </w:rPr>
        <w:lastRenderedPageBreak/>
        <w:t>Nyers szoftveres fajlagos alapérték (</w:t>
      </w:r>
      <w:proofErr w:type="spellStart"/>
      <w:r w:rsidRPr="000C5F94">
        <w:rPr>
          <w:b/>
          <w:bCs/>
        </w:rPr>
        <w:t>f</w:t>
      </w:r>
      <w:r w:rsidRPr="000C5F94">
        <w:rPr>
          <w:b/>
          <w:bCs/>
          <w:vertAlign w:val="subscript"/>
        </w:rPr>
        <w:t>tároló</w:t>
      </w:r>
      <w:proofErr w:type="spellEnd"/>
      <w:r w:rsidRPr="000C5F94">
        <w:rPr>
          <w:b/>
          <w:bCs/>
          <w:vertAlign w:val="subscript"/>
        </w:rPr>
        <w:t>, nyers</w:t>
      </w:r>
      <w:r w:rsidRPr="000C5F94">
        <w:rPr>
          <w:b/>
          <w:bCs/>
        </w:rPr>
        <w:t>):</w:t>
      </w:r>
      <w:r w:rsidRPr="000C5F94">
        <w:t xml:space="preserve"> A szakértői program belső, </w:t>
      </w:r>
      <w:proofErr w:type="spellStart"/>
      <w:r w:rsidRPr="000C5F94">
        <w:t>validált</w:t>
      </w:r>
      <w:proofErr w:type="spellEnd"/>
      <w:r w:rsidRPr="000C5F94">
        <w:t xml:space="preserve"> adatbázisa, valamint a hazai mezőgazdasági szagvédelmi útmutatók alapján egy hagyományos kialakítású, teljesen nyitott, kezeletlen hígtrágyatároló specifikus alap-bűzkibocsátási tényezője: </w:t>
      </w:r>
      <w:r w:rsidRPr="000C5F94">
        <w:rPr>
          <w:b/>
          <w:bCs/>
        </w:rPr>
        <w:t>6,00 SZE/s/</w:t>
      </w:r>
      <w:r w:rsidR="009105B8">
        <w:rPr>
          <w:b/>
          <w:bCs/>
        </w:rPr>
        <w:t>Á</w:t>
      </w:r>
      <w:r w:rsidRPr="000C5F94">
        <w:rPr>
          <w:b/>
          <w:bCs/>
        </w:rPr>
        <w:t>E</w:t>
      </w:r>
      <w:r w:rsidRPr="000C5F94">
        <w:t>.</w:t>
      </w:r>
    </w:p>
    <w:p w14:paraId="2582EF10" w14:textId="51DAF182" w:rsidR="000C5F94" w:rsidRPr="000C5F94" w:rsidRDefault="000C5F94">
      <w:pPr>
        <w:numPr>
          <w:ilvl w:val="0"/>
          <w:numId w:val="19"/>
        </w:numPr>
      </w:pPr>
      <w:r w:rsidRPr="000C5F94">
        <w:rPr>
          <w:b/>
          <w:bCs/>
        </w:rPr>
        <w:t>Első védelmi vonal – Forrásoldali biológiai stabilizáció (</w:t>
      </w:r>
      <w:proofErr w:type="spellStart"/>
      <w:r w:rsidRPr="000C5F94">
        <w:rPr>
          <w:b/>
          <w:bCs/>
        </w:rPr>
        <w:t>BioAmp</w:t>
      </w:r>
      <w:proofErr w:type="spellEnd"/>
      <w:r w:rsidRPr="000C5F94">
        <w:rPr>
          <w:b/>
          <w:bCs/>
        </w:rPr>
        <w:t>™):</w:t>
      </w:r>
      <w:r w:rsidRPr="000C5F94">
        <w:t xml:space="preserve"> Mivel a külső tárolóba kizárólag az istállókból származó, a </w:t>
      </w:r>
      <w:proofErr w:type="spellStart"/>
      <w:r w:rsidRPr="000C5F94">
        <w:t>BioAmp</w:t>
      </w:r>
      <w:proofErr w:type="spellEnd"/>
      <w:r w:rsidRPr="000C5F94">
        <w:t xml:space="preserve"> 300 </w:t>
      </w:r>
      <w:proofErr w:type="spellStart"/>
      <w:r w:rsidRPr="000C5F94">
        <w:t>biogenerátor</w:t>
      </w:r>
      <w:proofErr w:type="spellEnd"/>
      <w:r w:rsidRPr="000C5F94">
        <w:t xml:space="preserve"> által folyamatosan kezelt és biológiailag stabilizált hígtrágya kerül átvezetésre. A </w:t>
      </w:r>
      <w:proofErr w:type="spellStart"/>
      <w:r w:rsidRPr="000C5F94">
        <w:t>FreeFlow</w:t>
      </w:r>
      <w:proofErr w:type="spellEnd"/>
      <w:r w:rsidRPr="000C5F94">
        <w:t xml:space="preserve">™ </w:t>
      </w:r>
      <w:proofErr w:type="spellStart"/>
      <w:r w:rsidRPr="000C5F94">
        <w:t>Extreme</w:t>
      </w:r>
      <w:proofErr w:type="spellEnd"/>
      <w:r w:rsidRPr="000C5F94">
        <w:t xml:space="preserve"> baktériumok </w:t>
      </w:r>
      <w:proofErr w:type="spellStart"/>
      <w:r w:rsidRPr="000C5F94">
        <w:t>uretáz</w:t>
      </w:r>
      <w:proofErr w:type="spellEnd"/>
      <w:r w:rsidRPr="000C5F94">
        <w:t>-inhibitor hatása, valamint a nitrogénvegyületek folyadékfázisú rögzítése a tározón belül is aktívan gátolja az anaerob rothadást és a bűzanyagok gázfázisú felszabadulását</w:t>
      </w:r>
      <w:r w:rsidR="009105B8">
        <w:rPr>
          <w:rStyle w:val="Lbjegyzet-hivatkozs"/>
        </w:rPr>
        <w:footnoteReference w:id="3"/>
      </w:r>
      <w:r w:rsidRPr="000C5F94">
        <w:t xml:space="preserve">. Ez a biológiai előkezelés önmagában </w:t>
      </w:r>
      <w:r w:rsidRPr="000C5F94">
        <w:rPr>
          <w:b/>
          <w:bCs/>
        </w:rPr>
        <w:t>60%-os szagáram-redukciót</w:t>
      </w:r>
      <w:r w:rsidRPr="000C5F94">
        <w:t xml:space="preserve"> (azaz 0,40-es visszamaradó kibocsátási szorzót) biztosít a tárolt folyadékfázisban. A baktériumok hatékonyságát és a nitrogénformák folyadékban tartását a Miskolci Egyetem Környezettechnikai Intézetének laboratóriumi és üzemi monitorozási vizsgálatai is tudományosan igazolják</w:t>
      </w:r>
      <w:r w:rsidR="00CE4FE8">
        <w:rPr>
          <w:rStyle w:val="Lbjegyzet-hivatkozs"/>
        </w:rPr>
        <w:footnoteReference w:id="4"/>
      </w:r>
      <w:r w:rsidRPr="000C5F94">
        <w:t>.</w:t>
      </w:r>
    </w:p>
    <w:p w14:paraId="2B19EDF0" w14:textId="598C8FF9" w:rsidR="000C5F94" w:rsidRPr="000C5F94" w:rsidRDefault="000C5F94">
      <w:pPr>
        <w:numPr>
          <w:ilvl w:val="0"/>
          <w:numId w:val="19"/>
        </w:numPr>
      </w:pPr>
      <w:r w:rsidRPr="000C5F94">
        <w:rPr>
          <w:b/>
          <w:bCs/>
        </w:rPr>
        <w:t>Második védelmi vonal – Emelt hatásfokú fizikai emisszió-elfojtás (Gázzáró ponyvafedés):</w:t>
      </w:r>
      <w:r w:rsidRPr="000C5F94">
        <w:t xml:space="preserve"> Az intenzív állattartás elérhető legjobb technikáival (BAT 16 előírás) összhangban az 1500 m³-es körműtárgy nyitott felszíne egy speciális, merevített, gázzáró ponyvafedéssel kerül tartósan lezárásra). Az Európai Bizottság és az ENSZ legfrissebb nemzetközi útmutatói rögzítik, hogy egy szorosan illeszkedő, gázzáró peremzárással ellátott feszített ponyvafedés (</w:t>
      </w:r>
      <w:proofErr w:type="spellStart"/>
      <w:r w:rsidRPr="000C5F94">
        <w:t>flexible</w:t>
      </w:r>
      <w:proofErr w:type="spellEnd"/>
      <w:r w:rsidRPr="000C5F94">
        <w:t xml:space="preserve"> </w:t>
      </w:r>
      <w:proofErr w:type="spellStart"/>
      <w:r w:rsidRPr="000C5F94">
        <w:t>cover</w:t>
      </w:r>
      <w:proofErr w:type="spellEnd"/>
      <w:r w:rsidRPr="000C5F94">
        <w:t xml:space="preserve">) a bűzanyagok és az ammónia tározóból történő diffúzióját igazoltan </w:t>
      </w:r>
      <w:r w:rsidRPr="000C5F94">
        <w:rPr>
          <w:b/>
          <w:bCs/>
        </w:rPr>
        <w:t>90%-os közvetlen hatásfokkal fojtja el</w:t>
      </w:r>
      <w:r w:rsidRPr="000C5F94">
        <w:t xml:space="preserve"> (azaz a visszamaradó kibocsátási szorzó mindössze 0,10)</w:t>
      </w:r>
      <w:r w:rsidR="008D421A">
        <w:rPr>
          <w:rStyle w:val="Lbjegyzet-hivatkozs"/>
        </w:rPr>
        <w:footnoteReference w:id="5"/>
      </w:r>
      <w:r w:rsidRPr="000C5F94">
        <w:t>.</w:t>
      </w:r>
    </w:p>
    <w:p w14:paraId="1CC9E1B6" w14:textId="012A77A4" w:rsidR="000C5F94" w:rsidRPr="000C5F94" w:rsidRDefault="000C5F94">
      <w:pPr>
        <w:numPr>
          <w:ilvl w:val="0"/>
          <w:numId w:val="19"/>
        </w:numPr>
      </w:pPr>
      <w:r w:rsidRPr="000C5F94">
        <w:rPr>
          <w:b/>
          <w:bCs/>
        </w:rPr>
        <w:t xml:space="preserve">Tervezési (kombináltan </w:t>
      </w:r>
      <w:proofErr w:type="spellStart"/>
      <w:r w:rsidRPr="000C5F94">
        <w:rPr>
          <w:b/>
          <w:bCs/>
        </w:rPr>
        <w:t>mitigált</w:t>
      </w:r>
      <w:proofErr w:type="spellEnd"/>
      <w:r w:rsidRPr="000C5F94">
        <w:rPr>
          <w:b/>
          <w:bCs/>
        </w:rPr>
        <w:t>) fajlagos kibocsátási tényező (</w:t>
      </w:r>
      <w:proofErr w:type="spellStart"/>
      <w:r w:rsidRPr="000C5F94">
        <w:rPr>
          <w:b/>
          <w:bCs/>
        </w:rPr>
        <w:t>f</w:t>
      </w:r>
      <w:r w:rsidRPr="008D421A">
        <w:rPr>
          <w:b/>
          <w:bCs/>
          <w:vertAlign w:val="subscript"/>
        </w:rPr>
        <w:t>tároló</w:t>
      </w:r>
      <w:proofErr w:type="spellEnd"/>
      <w:r w:rsidR="008D421A" w:rsidRPr="008D421A">
        <w:rPr>
          <w:b/>
          <w:bCs/>
          <w:vertAlign w:val="subscript"/>
        </w:rPr>
        <w:t xml:space="preserve">, </w:t>
      </w:r>
      <w:r w:rsidRPr="008D421A">
        <w:rPr>
          <w:b/>
          <w:bCs/>
          <w:vertAlign w:val="subscript"/>
        </w:rPr>
        <w:t>tervezési</w:t>
      </w:r>
      <w:r w:rsidRPr="000C5F94">
        <w:rPr>
          <w:b/>
          <w:bCs/>
        </w:rPr>
        <w:t>):</w:t>
      </w:r>
      <w:r w:rsidRPr="000C5F94">
        <w:t xml:space="preserve"> A nyers szoftveres alapérték (6,00 SZE/s/AE), a biológiai stabilizáció (0,40), valamint az EU-útmutatók szerinti emelt hatásfokú fizikai ponyvatakarás (0,10) egymásra épülő, </w:t>
      </w:r>
      <w:proofErr w:type="spellStart"/>
      <w:r w:rsidRPr="000C5F94">
        <w:t>multiplikatív</w:t>
      </w:r>
      <w:proofErr w:type="spellEnd"/>
      <w:r w:rsidRPr="000C5F94">
        <w:t xml:space="preserve"> hatásának levezetése az alábbiak szerint alakul:</w:t>
      </w:r>
    </w:p>
    <w:p w14:paraId="44A29C24" w14:textId="71A9F437" w:rsidR="00AC477F" w:rsidRDefault="005D79AB" w:rsidP="005D79AB">
      <w:pPr>
        <w:jc w:val="center"/>
      </w:pPr>
      <w:proofErr w:type="spellStart"/>
      <w:r>
        <w:t>f</w:t>
      </w:r>
      <w:r w:rsidRPr="005D79AB">
        <w:rPr>
          <w:vertAlign w:val="subscript"/>
        </w:rPr>
        <w:t>tároló</w:t>
      </w:r>
      <w:proofErr w:type="spellEnd"/>
      <w:r w:rsidRPr="005D79AB">
        <w:rPr>
          <w:vertAlign w:val="subscript"/>
        </w:rPr>
        <w:t>, tervezési</w:t>
      </w:r>
      <w:r>
        <w:t xml:space="preserve"> = 6,00 SZE/s/ÁE * 0,40 (</w:t>
      </w:r>
      <w:proofErr w:type="spellStart"/>
      <w:r>
        <w:t>BioAmp</w:t>
      </w:r>
      <w:proofErr w:type="spellEnd"/>
      <w:r>
        <w:t>) * 0,10 (EU-BAT ponyva) = 0,24 SZE/s/ÁE</w:t>
      </w:r>
    </w:p>
    <w:p w14:paraId="18B09247" w14:textId="52FC273A" w:rsidR="00884EED" w:rsidRPr="00884EED" w:rsidRDefault="00884EED" w:rsidP="00884EED">
      <w:r w:rsidRPr="00884EED">
        <w:t xml:space="preserve">A fentiek alapján a Hatástávolság program diszperziós moduljába táplálandó, </w:t>
      </w:r>
      <w:proofErr w:type="spellStart"/>
      <w:r w:rsidRPr="00884EED">
        <w:rPr>
          <w:b/>
          <w:bCs/>
        </w:rPr>
        <w:t>BioAmp</w:t>
      </w:r>
      <w:proofErr w:type="spellEnd"/>
      <w:r w:rsidRPr="00884EED">
        <w:rPr>
          <w:b/>
          <w:bCs/>
        </w:rPr>
        <w:t xml:space="preserve"> technológiával és emelt hatásfokú gázzáró ponyvafedéssel együttesen csökkentett összesített tároló-szagkibocsátási áram (forráserősség, </w:t>
      </w:r>
      <w:proofErr w:type="spellStart"/>
      <w:r>
        <w:rPr>
          <w:b/>
          <w:bCs/>
        </w:rPr>
        <w:t>E</w:t>
      </w:r>
      <w:r w:rsidRPr="00884EED">
        <w:rPr>
          <w:b/>
          <w:bCs/>
          <w:vertAlign w:val="subscript"/>
        </w:rPr>
        <w:t>tároló</w:t>
      </w:r>
      <w:proofErr w:type="spellEnd"/>
      <w:r w:rsidRPr="00884EED">
        <w:rPr>
          <w:b/>
          <w:bCs/>
        </w:rPr>
        <w:t>)</w:t>
      </w:r>
      <w:r w:rsidRPr="00884EED">
        <w:t xml:space="preserve"> az 1560 AE-s telepi </w:t>
      </w:r>
      <w:proofErr w:type="spellStart"/>
      <w:r w:rsidRPr="00884EED">
        <w:t>összkapacitásra</w:t>
      </w:r>
      <w:proofErr w:type="spellEnd"/>
      <w:r w:rsidRPr="00884EED">
        <w:t xml:space="preserve"> vetítve az alábbi zárt mérnöki egyenleg szerint számszerűsíthető:</w:t>
      </w:r>
    </w:p>
    <w:p w14:paraId="649274CD" w14:textId="747238A9" w:rsidR="005D79AB" w:rsidRDefault="00884EED" w:rsidP="00884EED">
      <w:pPr>
        <w:jc w:val="center"/>
      </w:pPr>
      <w:proofErr w:type="spellStart"/>
      <w:r>
        <w:t>E</w:t>
      </w:r>
      <w:r w:rsidRPr="004F78F9">
        <w:rPr>
          <w:vertAlign w:val="subscript"/>
        </w:rPr>
        <w:t>tároló</w:t>
      </w:r>
      <w:proofErr w:type="spellEnd"/>
      <w:r>
        <w:t xml:space="preserve"> = Kapacitás (ÁE</w:t>
      </w:r>
      <w:r w:rsidR="004F78F9">
        <w:t>)</w:t>
      </w:r>
      <w:r>
        <w:t xml:space="preserve"> * </w:t>
      </w:r>
      <w:proofErr w:type="spellStart"/>
      <w:r w:rsidR="004F78F9">
        <w:t>f</w:t>
      </w:r>
      <w:r w:rsidR="004F78F9" w:rsidRPr="005D79AB">
        <w:rPr>
          <w:vertAlign w:val="subscript"/>
        </w:rPr>
        <w:t>tároló</w:t>
      </w:r>
      <w:proofErr w:type="spellEnd"/>
      <w:r w:rsidR="004F78F9" w:rsidRPr="005D79AB">
        <w:rPr>
          <w:vertAlign w:val="subscript"/>
        </w:rPr>
        <w:t>, tervezési</w:t>
      </w:r>
      <w:r w:rsidR="004F78F9">
        <w:t xml:space="preserve"> (SZE/s/ÁE)</w:t>
      </w:r>
    </w:p>
    <w:p w14:paraId="309EA762" w14:textId="11BC5456" w:rsidR="004F78F9" w:rsidRPr="004F78F9" w:rsidRDefault="004F78F9" w:rsidP="00884EED">
      <w:pPr>
        <w:jc w:val="center"/>
      </w:pPr>
      <w:proofErr w:type="spellStart"/>
      <w:r>
        <w:t>E</w:t>
      </w:r>
      <w:r w:rsidRPr="004F78F9">
        <w:rPr>
          <w:vertAlign w:val="subscript"/>
        </w:rPr>
        <w:t>tároló</w:t>
      </w:r>
      <w:proofErr w:type="spellEnd"/>
      <w:r>
        <w:t xml:space="preserve"> = 1560 ÁE * 0,24 SZE/s/ÁE = 374,4 SZE/s</w:t>
      </w:r>
    </w:p>
    <w:p w14:paraId="0CA375E6" w14:textId="42048272" w:rsidR="00BE0FF3" w:rsidRPr="00BE0FF3" w:rsidRDefault="00BE0FF3" w:rsidP="00BE0FF3">
      <w:r w:rsidRPr="00BE0FF3">
        <w:t xml:space="preserve">A hatósági terjedésmodellezés számszaki konzisztenciája és biztonsági tartaléka érdekében a szakvélemény a továbbiakban a konzervatív módon felfelé kerekített </w:t>
      </w:r>
      <w:r w:rsidRPr="00BE0FF3">
        <w:rPr>
          <w:b/>
          <w:bCs/>
        </w:rPr>
        <w:t>375 SZE/s</w:t>
      </w:r>
      <w:r w:rsidRPr="00BE0FF3">
        <w:t xml:space="preserve"> eredő szagáram-értéket tekinti fix bemeneti adatnak a külső hígtrágyatároló műtárgy izolált vizsgálata során</w:t>
      </w:r>
      <w:r>
        <w:t>.</w:t>
      </w:r>
    </w:p>
    <w:p w14:paraId="7A980E25" w14:textId="0BF0B4C7" w:rsidR="00AC477F" w:rsidRDefault="00447D1A" w:rsidP="00447D1A">
      <w:pPr>
        <w:pStyle w:val="Cmsor2"/>
      </w:pPr>
      <w:bookmarkStart w:id="18" w:name="_Toc231161040"/>
      <w:r w:rsidRPr="00447D1A">
        <w:lastRenderedPageBreak/>
        <w:t>Az állattartó istállók és a külső hígtrágyatároló egyesített (összesített) telephelyi szagkibocsátásának meghatározása</w:t>
      </w:r>
      <w:bookmarkEnd w:id="18"/>
    </w:p>
    <w:p w14:paraId="744E19F9" w14:textId="13289023" w:rsidR="00447D1A" w:rsidRDefault="00447D1A" w:rsidP="00447D1A">
      <w:r>
        <w:t xml:space="preserve">A </w:t>
      </w:r>
      <w:proofErr w:type="spellStart"/>
      <w:r>
        <w:t>tiszaszőlősi</w:t>
      </w:r>
      <w:proofErr w:type="spellEnd"/>
      <w:r>
        <w:t xml:space="preserve"> sertéstelep teljes körű, hatósági levegőtisztaság-védelmi diszperziós modellezéséhez az elkülönített bűzforrások egyidejű működéséből adódó eredő emissziós áramát együttesen, szuperpozíció formájában kell meghatározni</w:t>
      </w:r>
      <w:r>
        <w:rPr>
          <w:rStyle w:val="Lbjegyzet-hivatkozs"/>
        </w:rPr>
        <w:footnoteReference w:id="6"/>
      </w:r>
      <w:r>
        <w:t>. Az egyesített forráserősség</w:t>
      </w:r>
      <w:r w:rsidR="00EA4318">
        <w:t xml:space="preserve"> (</w:t>
      </w:r>
      <w:proofErr w:type="spellStart"/>
      <w:r w:rsidR="00EA4318">
        <w:t>E</w:t>
      </w:r>
      <w:r w:rsidR="00EA4318" w:rsidRPr="00EA4318">
        <w:rPr>
          <w:vertAlign w:val="subscript"/>
        </w:rPr>
        <w:t>összes</w:t>
      </w:r>
      <w:proofErr w:type="spellEnd"/>
      <w:r w:rsidR="00EA4318">
        <w:t>)</w:t>
      </w:r>
      <w:r>
        <w:t xml:space="preserve"> kiszámítása a 4 db modern hízóistálló </w:t>
      </w:r>
      <w:proofErr w:type="spellStart"/>
      <w:r>
        <w:t>mikrobiológiailag</w:t>
      </w:r>
      <w:proofErr w:type="spellEnd"/>
      <w:r>
        <w:t xml:space="preserve"> </w:t>
      </w:r>
      <w:proofErr w:type="spellStart"/>
      <w:r>
        <w:t>mitigált</w:t>
      </w:r>
      <w:proofErr w:type="spellEnd"/>
      <w:r>
        <w:t xml:space="preserve"> szagáramának, valamint a külső vasbeton körműtárgy kombinált (</w:t>
      </w:r>
      <w:proofErr w:type="spellStart"/>
      <w:r>
        <w:t>BioAmp</w:t>
      </w:r>
      <w:proofErr w:type="spellEnd"/>
      <w:r>
        <w:t>™ + emelt hatásfokú ponyvafedés) szagáramának számszaki összegeként adódik.</w:t>
      </w:r>
    </w:p>
    <w:p w14:paraId="7347601D" w14:textId="4FCADB1A" w:rsidR="00447D1A" w:rsidRDefault="00447D1A" w:rsidP="00447D1A">
      <w:r>
        <w:t>A korábbi fejezetrészekben mérnökileg levezetett és rögzített forrásoldali adatok alapján a telephely teljes, egyidejű bűzkibocsátása az alábbi zárt anyagmérleg-egyenlet szerint alakul:</w:t>
      </w:r>
    </w:p>
    <w:p w14:paraId="24BEE567" w14:textId="171FF446" w:rsidR="00AC477F" w:rsidRDefault="00264C35" w:rsidP="00EA4318">
      <w:pPr>
        <w:jc w:val="center"/>
      </w:pPr>
      <w:proofErr w:type="spellStart"/>
      <w:r>
        <w:t>E</w:t>
      </w:r>
      <w:r w:rsidRPr="00EA4318">
        <w:rPr>
          <w:vertAlign w:val="subscript"/>
        </w:rPr>
        <w:t>összes</w:t>
      </w:r>
      <w:proofErr w:type="spellEnd"/>
      <w:r>
        <w:t xml:space="preserve"> = </w:t>
      </w:r>
      <w:proofErr w:type="spellStart"/>
      <w:r w:rsidRPr="00613B80">
        <w:t>E</w:t>
      </w:r>
      <w:r w:rsidRPr="00613B80">
        <w:rPr>
          <w:vertAlign w:val="subscript"/>
        </w:rPr>
        <w:t>istállók</w:t>
      </w:r>
      <w:proofErr w:type="spellEnd"/>
      <w:r>
        <w:t xml:space="preserve"> </w:t>
      </w:r>
      <w:r w:rsidR="00EA4318">
        <w:t xml:space="preserve">+ </w:t>
      </w:r>
      <w:proofErr w:type="spellStart"/>
      <w:r w:rsidR="00EA4318">
        <w:t>E</w:t>
      </w:r>
      <w:r w:rsidR="00EA4318" w:rsidRPr="004F78F9">
        <w:rPr>
          <w:vertAlign w:val="subscript"/>
        </w:rPr>
        <w:t>tároló</w:t>
      </w:r>
      <w:proofErr w:type="spellEnd"/>
    </w:p>
    <w:p w14:paraId="458028B3" w14:textId="504C87FB" w:rsidR="00AC477F" w:rsidRPr="00EB198C" w:rsidRDefault="00264C35" w:rsidP="00264C35">
      <w:pPr>
        <w:jc w:val="center"/>
        <w:rPr>
          <w:b/>
          <w:bCs/>
        </w:rPr>
      </w:pPr>
      <w:proofErr w:type="spellStart"/>
      <w:r>
        <w:t>E</w:t>
      </w:r>
      <w:r w:rsidRPr="00EA4318">
        <w:rPr>
          <w:vertAlign w:val="subscript"/>
        </w:rPr>
        <w:t>összes</w:t>
      </w:r>
      <w:proofErr w:type="spellEnd"/>
      <w:r>
        <w:t xml:space="preserve"> = 6740 SZE/s + 375 SZE/s =</w:t>
      </w:r>
      <w:r w:rsidRPr="00EB198C">
        <w:rPr>
          <w:b/>
          <w:bCs/>
        </w:rPr>
        <w:t>7115 SZE/s</w:t>
      </w:r>
    </w:p>
    <w:p w14:paraId="660C6CCB" w14:textId="7C0614F5" w:rsidR="00E459D3" w:rsidRDefault="00C855E1" w:rsidP="00C855E1">
      <w:pPr>
        <w:pStyle w:val="Cmsor1"/>
      </w:pPr>
      <w:bookmarkStart w:id="19" w:name="_Toc231161041"/>
      <w:r w:rsidRPr="00C855E1">
        <w:t>Szagterjedési modellezés a Hatástávolság 8.0.0.12 szakértői programmal</w:t>
      </w:r>
      <w:bookmarkEnd w:id="19"/>
    </w:p>
    <w:p w14:paraId="05A4A035" w14:textId="4E2ECF1F" w:rsidR="006D5D47" w:rsidRDefault="00C855E1" w:rsidP="00D8220C">
      <w:r w:rsidRPr="00C855E1">
        <w:t xml:space="preserve">A tervezett </w:t>
      </w:r>
      <w:proofErr w:type="spellStart"/>
      <w:r w:rsidRPr="00C855E1">
        <w:t>tiszaszőlősi</w:t>
      </w:r>
      <w:proofErr w:type="spellEnd"/>
      <w:r w:rsidRPr="00C855E1">
        <w:t xml:space="preserve"> sertéstelep és hígtrágyatároló üzemeltetési fázisára vonatkozó környezeti szagterhelés térbeli eloszlását, valamint a jogszabályi tervezési irányértékhez tartozó védőtávolságokat a hazai hatósági gyakorlatban elfogadott </w:t>
      </w:r>
      <w:r w:rsidRPr="00C855E1">
        <w:rPr>
          <w:b/>
          <w:bCs/>
        </w:rPr>
        <w:t>Hatástávolság 8.0.0.12</w:t>
      </w:r>
      <w:r w:rsidRPr="00C855E1">
        <w:t xml:space="preserve"> szakértői transzmissziós szoftverrel határoztuk meg. Az állattartó istállóépületeket horizontálisan kiterjedt, térfogati diffúz felületi forrásként integráltuk a modellbe.</w:t>
      </w:r>
    </w:p>
    <w:p w14:paraId="5A482CC5" w14:textId="5CAC713D" w:rsidR="006D5D47" w:rsidRDefault="00C855E1" w:rsidP="00C855E1">
      <w:pPr>
        <w:pStyle w:val="Cmsor2"/>
      </w:pPr>
      <w:bookmarkStart w:id="20" w:name="_Toc231161042"/>
      <w:r w:rsidRPr="00C855E1">
        <w:t>A terjedési modell matematikai alapjai</w:t>
      </w:r>
      <w:bookmarkEnd w:id="20"/>
    </w:p>
    <w:p w14:paraId="61213B7C" w14:textId="693628B1" w:rsidR="00C855E1" w:rsidRDefault="00C855E1" w:rsidP="00C855E1">
      <w:r>
        <w:t xml:space="preserve">A program a szaganyagok légköri diszperzióját (szóródását) a vonatkozó </w:t>
      </w:r>
      <w:r>
        <w:rPr>
          <w:b/>
          <w:bCs/>
        </w:rPr>
        <w:t>306/2010. (XII. 23.) Korm. rendelet</w:t>
      </w:r>
      <w:r>
        <w:t xml:space="preserve">, valamint az </w:t>
      </w:r>
      <w:r>
        <w:rPr>
          <w:b/>
          <w:bCs/>
        </w:rPr>
        <w:t>MSZ 21457/4:1980</w:t>
      </w:r>
      <w:r>
        <w:t xml:space="preserve"> és </w:t>
      </w:r>
      <w:r>
        <w:rPr>
          <w:b/>
          <w:bCs/>
        </w:rPr>
        <w:t>MSZ 21459/1, 2-1981</w:t>
      </w:r>
      <w:r>
        <w:t xml:space="preserve"> szabványok előírásai szerint hitelesített </w:t>
      </w:r>
      <w:r>
        <w:rPr>
          <w:b/>
          <w:bCs/>
        </w:rPr>
        <w:t>Kettős Gauss-féle eloszlási modell</w:t>
      </w:r>
      <w:r>
        <w:t xml:space="preserve"> segítségével határozza meg. A modell a meteorológiai és áramlási paraméterek figyelembevételével a szélirány menti transzmissziós tengelyen (</w:t>
      </w:r>
      <w:r w:rsidRPr="0011057E">
        <w:rPr>
          <w:rStyle w:val="math-inline"/>
        </w:rPr>
        <w:t>x</w:t>
      </w:r>
      <w:r>
        <w:t xml:space="preserve"> távolság) számítja ki a várható talajszinti </w:t>
      </w:r>
      <w:proofErr w:type="spellStart"/>
      <w:r>
        <w:t>imissziós</w:t>
      </w:r>
      <w:proofErr w:type="spellEnd"/>
      <w:r>
        <w:t xml:space="preserve"> koncentrációkat </w:t>
      </w:r>
      <w:r w:rsidRPr="0011057E">
        <w:t>(</w:t>
      </w:r>
      <w:r w:rsidRPr="0011057E">
        <w:rPr>
          <w:rStyle w:val="math-inline"/>
        </w:rPr>
        <w:t>z = 0</w:t>
      </w:r>
      <w:r w:rsidRPr="0011057E">
        <w:t>).</w:t>
      </w:r>
    </w:p>
    <w:p w14:paraId="52F3DD83" w14:textId="77777777" w:rsidR="00C855E1" w:rsidRDefault="00C855E1" w:rsidP="00C855E1">
      <w:r>
        <w:t xml:space="preserve">Az emberi orr receptorai a szaganyagok pillanatnyi, lökésszerű fluktuációira (úgynevezett csúcsszagokra) reagálnak, ezért az 1 órás átlagértékek önmagukban nem alkalmasak a valós bűzélmény leírására. Ezt a fizikai jelenséget a szoftver a német </w:t>
      </w:r>
      <w:r>
        <w:rPr>
          <w:b/>
          <w:bCs/>
        </w:rPr>
        <w:t>VDI 3782</w:t>
      </w:r>
      <w:r>
        <w:t xml:space="preserve"> irányelv módszertanát követő </w:t>
      </w:r>
      <w:r>
        <w:rPr>
          <w:i/>
          <w:iCs/>
        </w:rPr>
        <w:t>„10-es faktor”</w:t>
      </w:r>
      <w:r>
        <w:t xml:space="preserve"> csúcsszag-koncentrációs algoritmussal kezeli, biztosítva a legkedvezőtlenebb (</w:t>
      </w:r>
      <w:proofErr w:type="spellStart"/>
      <w:r>
        <w:rPr>
          <w:i/>
          <w:iCs/>
        </w:rPr>
        <w:t>worst-case</w:t>
      </w:r>
      <w:proofErr w:type="spellEnd"/>
      <w:r>
        <w:t>) meteorológiai állapotok hű lekövetését.</w:t>
      </w:r>
    </w:p>
    <w:p w14:paraId="6F3D7A0F" w14:textId="4C2E8153" w:rsidR="00C855E1" w:rsidRDefault="00875D7F" w:rsidP="0011057E">
      <w:pPr>
        <w:pStyle w:val="Cmsor2"/>
      </w:pPr>
      <w:bookmarkStart w:id="21" w:name="_Toc231161043"/>
      <w:r>
        <w:t>Bűzszámítás</w:t>
      </w:r>
      <w:bookmarkEnd w:id="21"/>
    </w:p>
    <w:p w14:paraId="7C888AD6" w14:textId="77777777" w:rsidR="0011057E" w:rsidRPr="0011057E" w:rsidRDefault="0011057E" w:rsidP="0011057E">
      <w:r w:rsidRPr="0011057E">
        <w:t xml:space="preserve">A számszakilag zárt transzmissziós futtatás során a program diszperziós moduljába az alábbi fix, a </w:t>
      </w:r>
      <w:r w:rsidRPr="0011057E">
        <w:rPr>
          <w:b/>
          <w:bCs/>
        </w:rPr>
        <w:t>3. fejezetben</w:t>
      </w:r>
      <w:r w:rsidRPr="0011057E">
        <w:t xml:space="preserve"> normatívan levezetett paramétereket tápláltuk be:</w:t>
      </w:r>
    </w:p>
    <w:p w14:paraId="1D4334D9" w14:textId="6AA5BD3D" w:rsidR="0011057E" w:rsidRPr="0011057E" w:rsidRDefault="0011057E">
      <w:pPr>
        <w:numPr>
          <w:ilvl w:val="0"/>
          <w:numId w:val="17"/>
        </w:numPr>
      </w:pPr>
      <w:r w:rsidRPr="0011057E">
        <w:rPr>
          <w:b/>
          <w:bCs/>
        </w:rPr>
        <w:lastRenderedPageBreak/>
        <w:t>Eredő normál forráserősség (</w:t>
      </w:r>
      <w:r w:rsidR="00EF5339">
        <w:rPr>
          <w:b/>
          <w:bCs/>
        </w:rPr>
        <w:t>E</w:t>
      </w:r>
      <w:r w:rsidRPr="0011057E">
        <w:rPr>
          <w:b/>
          <w:bCs/>
        </w:rPr>
        <w:t>):</w:t>
      </w:r>
      <w:r w:rsidRPr="0011057E">
        <w:t xml:space="preserve"> </w:t>
      </w:r>
      <w:r w:rsidR="00267CD0" w:rsidRPr="00267CD0">
        <w:t>7115</w:t>
      </w:r>
      <w:r w:rsidR="00267CD0" w:rsidRPr="00EB198C">
        <w:rPr>
          <w:b/>
          <w:bCs/>
        </w:rPr>
        <w:t xml:space="preserve"> </w:t>
      </w:r>
      <w:r w:rsidRPr="0011057E">
        <w:t xml:space="preserve">SZE/s (Az 5200 férőhely / 1560 </w:t>
      </w:r>
      <w:r>
        <w:t>Á</w:t>
      </w:r>
      <w:r w:rsidRPr="0011057E">
        <w:t xml:space="preserve">E kapacitásbázisból és a </w:t>
      </w:r>
      <w:r w:rsidR="00267CD0">
        <w:t>trágyatárolásból, a számított bűzcsökkentő intézkedésekkel együttesen)</w:t>
      </w:r>
      <w:r w:rsidRPr="0011057E">
        <w:t>.</w:t>
      </w:r>
    </w:p>
    <w:p w14:paraId="364F1B1C" w14:textId="449447DF" w:rsidR="0011057E" w:rsidRPr="0011057E" w:rsidRDefault="0011057E">
      <w:pPr>
        <w:numPr>
          <w:ilvl w:val="0"/>
          <w:numId w:val="17"/>
        </w:numPr>
      </w:pPr>
      <w:r w:rsidRPr="0011057E">
        <w:rPr>
          <w:b/>
          <w:bCs/>
        </w:rPr>
        <w:t>Kibocsátási geometriai magasság (h):</w:t>
      </w:r>
      <w:r w:rsidRPr="0011057E">
        <w:t xml:space="preserve"> 3,0 m (Az istállóépületek és a lefedett hígtrágyatároló kilépési síkja).</w:t>
      </w:r>
    </w:p>
    <w:p w14:paraId="13CFD671" w14:textId="011B41D5" w:rsidR="0011057E" w:rsidRPr="0011057E" w:rsidRDefault="0011057E">
      <w:pPr>
        <w:numPr>
          <w:ilvl w:val="0"/>
          <w:numId w:val="17"/>
        </w:numPr>
      </w:pPr>
      <w:r w:rsidRPr="0011057E">
        <w:rPr>
          <w:b/>
          <w:bCs/>
        </w:rPr>
        <w:t>Irányadó szélsebesség (u):</w:t>
      </w:r>
      <w:r w:rsidRPr="0011057E">
        <w:t xml:space="preserve"> </w:t>
      </w:r>
      <w:r w:rsidR="008C24C3">
        <w:t>2,8</w:t>
      </w:r>
      <w:r w:rsidRPr="0011057E">
        <w:t xml:space="preserve"> m/s (A térségre vonatkozó sokéves éghajlati átlagos talajközeli szélsebesség értéke).</w:t>
      </w:r>
    </w:p>
    <w:p w14:paraId="27627BA7" w14:textId="05B084C5" w:rsidR="0011057E" w:rsidRPr="0011057E" w:rsidRDefault="0011057E">
      <w:pPr>
        <w:numPr>
          <w:ilvl w:val="0"/>
          <w:numId w:val="17"/>
        </w:numPr>
      </w:pPr>
      <w:r w:rsidRPr="0011057E">
        <w:rPr>
          <w:b/>
          <w:bCs/>
        </w:rPr>
        <w:t>Felületi érdességi együttható (z</w:t>
      </w:r>
      <w:r w:rsidRPr="008C24C3">
        <w:rPr>
          <w:b/>
          <w:bCs/>
          <w:vertAlign w:val="subscript"/>
        </w:rPr>
        <w:t>0</w:t>
      </w:r>
      <w:r w:rsidRPr="0011057E">
        <w:rPr>
          <w:b/>
          <w:bCs/>
        </w:rPr>
        <w:t>):</w:t>
      </w:r>
      <w:r w:rsidRPr="0011057E">
        <w:t xml:space="preserve"> 0,</w:t>
      </w:r>
      <w:r w:rsidR="009B668D">
        <w:t>15</w:t>
      </w:r>
      <w:r w:rsidRPr="0011057E">
        <w:t xml:space="preserve"> m (</w:t>
      </w:r>
      <w:r w:rsidR="00A16877" w:rsidRPr="00A16877">
        <w:rPr>
          <w:b/>
          <w:bCs/>
        </w:rPr>
        <w:t>Aktív mezőgazdasági terület</w:t>
      </w:r>
      <w:r w:rsidR="00A16877" w:rsidRPr="00A16877">
        <w:t xml:space="preserve"> morfológiai osztályának szoftveres alapértéke, amely </w:t>
      </w:r>
      <w:proofErr w:type="spellStart"/>
      <w:r w:rsidR="00A16877" w:rsidRPr="00A16877">
        <w:t>fókuszáltabb</w:t>
      </w:r>
      <w:proofErr w:type="spellEnd"/>
      <w:r w:rsidR="00A16877" w:rsidRPr="00A16877">
        <w:t xml:space="preserve"> terjedési profilt eredményez)</w:t>
      </w:r>
      <w:r w:rsidRPr="0011057E">
        <w:t>.</w:t>
      </w:r>
    </w:p>
    <w:p w14:paraId="2E4698D7" w14:textId="3B30DF68" w:rsidR="000D0F3A" w:rsidRPr="000D0F3A" w:rsidRDefault="0011057E">
      <w:pPr>
        <w:numPr>
          <w:ilvl w:val="0"/>
          <w:numId w:val="17"/>
        </w:numPr>
      </w:pPr>
      <w:r w:rsidRPr="000D0F3A">
        <w:rPr>
          <w:b/>
          <w:bCs/>
        </w:rPr>
        <w:t>Kötelező tervezési irányérték:</w:t>
      </w:r>
      <w:r w:rsidRPr="0011057E">
        <w:t xml:space="preserve"> </w:t>
      </w:r>
      <w:r w:rsidRPr="000D0F3A">
        <w:rPr>
          <w:b/>
          <w:bCs/>
        </w:rPr>
        <w:t>3,0 SZE/m³</w:t>
      </w:r>
      <w:r w:rsidRPr="0011057E">
        <w:t xml:space="preserve"> (A </w:t>
      </w:r>
      <w:r w:rsidRPr="000D0F3A">
        <w:rPr>
          <w:b/>
          <w:bCs/>
        </w:rPr>
        <w:t>4/2011. (I. 14.) VM rendelet 2. melléklete</w:t>
      </w:r>
      <w:r w:rsidRPr="0011057E">
        <w:t xml:space="preserve"> alapján az állattartási tevékenységekre előírt hivatalos környezeti </w:t>
      </w:r>
      <w:proofErr w:type="spellStart"/>
      <w:r w:rsidRPr="0011057E">
        <w:t>imissziós</w:t>
      </w:r>
      <w:proofErr w:type="spellEnd"/>
      <w:r w:rsidRPr="0011057E">
        <w:t xml:space="preserve"> határérték).</w:t>
      </w:r>
      <w:r w:rsidR="000D0F3A">
        <w:t xml:space="preserve"> </w:t>
      </w:r>
      <w:r w:rsidR="000D0F3A" w:rsidRPr="000D0F3A">
        <w:t>Az állattartásra előírt</w:t>
      </w:r>
      <w:r w:rsidR="000D0F3A">
        <w:t xml:space="preserve"> 3,0 SZE/s</w:t>
      </w:r>
      <w:r w:rsidR="000D0F3A" w:rsidRPr="000D0F3A">
        <w:t xml:space="preserve"> a </w:t>
      </w:r>
      <w:r w:rsidR="000D0F3A" w:rsidRPr="005931E8">
        <w:rPr>
          <w:b/>
          <w:bCs/>
        </w:rPr>
        <w:t>felismerési és zavarási küszöbérték</w:t>
      </w:r>
      <w:r w:rsidR="000D0F3A" w:rsidRPr="000D0F3A">
        <w:t xml:space="preserve"> </w:t>
      </w:r>
      <w:r w:rsidR="000D0F3A" w:rsidRPr="005931E8">
        <w:t>(</w:t>
      </w:r>
      <w:proofErr w:type="spellStart"/>
      <w:r w:rsidR="000D0F3A" w:rsidRPr="005931E8">
        <w:rPr>
          <w:i/>
          <w:iCs/>
        </w:rPr>
        <w:t>annoyance</w:t>
      </w:r>
      <w:proofErr w:type="spellEnd"/>
      <w:r w:rsidR="000D0F3A" w:rsidRPr="005931E8">
        <w:rPr>
          <w:i/>
          <w:iCs/>
        </w:rPr>
        <w:t xml:space="preserve"> </w:t>
      </w:r>
      <w:proofErr w:type="spellStart"/>
      <w:r w:rsidR="000D0F3A" w:rsidRPr="005931E8">
        <w:rPr>
          <w:i/>
          <w:iCs/>
        </w:rPr>
        <w:t>threshold</w:t>
      </w:r>
      <w:proofErr w:type="spellEnd"/>
      <w:r w:rsidR="000D0F3A" w:rsidRPr="005931E8">
        <w:t xml:space="preserve">) </w:t>
      </w:r>
      <w:r w:rsidR="000D0F3A" w:rsidRPr="000D0F3A">
        <w:t>határa, amely felett a környezetben élők egyértelműen azonosítják a szag karakterét, és az tartós fennállás esetén életminőség-romlást, azaz zavarást okozhat</w:t>
      </w:r>
      <w:r w:rsidR="005931E8">
        <w:t>.</w:t>
      </w:r>
    </w:p>
    <w:p w14:paraId="4AB5401E" w14:textId="7A01B49E" w:rsidR="00340601" w:rsidRDefault="00340601">
      <w:pPr>
        <w:numPr>
          <w:ilvl w:val="0"/>
          <w:numId w:val="17"/>
        </w:numPr>
      </w:pPr>
      <w:r w:rsidRPr="00340601">
        <w:rPr>
          <w:b/>
          <w:bCs/>
        </w:rPr>
        <w:t>Kiegészítő vizsgálati küszöbérték (hatósági):</w:t>
      </w:r>
      <w:r w:rsidRPr="00340601">
        <w:t xml:space="preserve"> </w:t>
      </w:r>
      <w:r w:rsidRPr="00267CD0">
        <w:rPr>
          <w:b/>
          <w:bCs/>
        </w:rPr>
        <w:t>1,0 SZE/m³</w:t>
      </w:r>
      <w:r w:rsidRPr="00340601">
        <w:t xml:space="preserve"> (Az emberi orr általi tiszta szagérzékelés elméleti határértéke, amelyet a hatóság kérése alapján a modellezés során másodlagos értékelési kritériumként mutattunk ki).</w:t>
      </w:r>
      <w:r w:rsidR="005931E8">
        <w:t xml:space="preserve"> E</w:t>
      </w:r>
      <w:r w:rsidR="005931E8" w:rsidRPr="005931E8">
        <w:t xml:space="preserve">lméleti </w:t>
      </w:r>
      <w:r w:rsidR="005931E8" w:rsidRPr="005931E8">
        <w:rPr>
          <w:b/>
          <w:bCs/>
        </w:rPr>
        <w:t>szagészlelési küszöbérték</w:t>
      </w:r>
      <w:r w:rsidR="005931E8" w:rsidRPr="005931E8">
        <w:t xml:space="preserve"> (</w:t>
      </w:r>
      <w:proofErr w:type="spellStart"/>
      <w:r w:rsidR="005931E8" w:rsidRPr="005931E8">
        <w:rPr>
          <w:i/>
          <w:iCs/>
        </w:rPr>
        <w:t>odour</w:t>
      </w:r>
      <w:proofErr w:type="spellEnd"/>
      <w:r w:rsidR="005931E8" w:rsidRPr="005931E8">
        <w:rPr>
          <w:i/>
          <w:iCs/>
        </w:rPr>
        <w:t xml:space="preserve"> </w:t>
      </w:r>
      <w:proofErr w:type="spellStart"/>
      <w:r w:rsidR="005931E8" w:rsidRPr="005931E8">
        <w:rPr>
          <w:i/>
          <w:iCs/>
        </w:rPr>
        <w:t>detection</w:t>
      </w:r>
      <w:proofErr w:type="spellEnd"/>
      <w:r w:rsidR="005931E8" w:rsidRPr="005931E8">
        <w:rPr>
          <w:i/>
          <w:iCs/>
        </w:rPr>
        <w:t xml:space="preserve"> </w:t>
      </w:r>
      <w:proofErr w:type="spellStart"/>
      <w:r w:rsidR="005931E8" w:rsidRPr="005931E8">
        <w:rPr>
          <w:i/>
          <w:iCs/>
        </w:rPr>
        <w:t>threshold</w:t>
      </w:r>
      <w:proofErr w:type="spellEnd"/>
      <w:r w:rsidR="005931E8" w:rsidRPr="005931E8">
        <w:t>), ami azt a minimális gázkoncentrációt jelenti, ahol egy laboratóriumi környezetben lévő, képzett szagvizsgáló panel tagjainak pontosan az 50%-a képes biztonsággal megkülönböztetni az adott mintát a teljesen szagmentes levegőtől, de magát a szag forrását vagy jellegét (</w:t>
      </w:r>
      <w:proofErr w:type="gramStart"/>
      <w:r w:rsidR="005931E8" w:rsidRPr="005931E8">
        <w:t>pl</w:t>
      </w:r>
      <w:r w:rsidR="005931E8">
        <w:t>.</w:t>
      </w:r>
      <w:proofErr w:type="gramEnd"/>
      <w:r w:rsidR="005931E8" w:rsidRPr="005931E8">
        <w:t xml:space="preserve"> hogy az sertésszag) még nem tudja azonosítani</w:t>
      </w:r>
      <w:r w:rsidR="005931E8">
        <w:t>.</w:t>
      </w:r>
    </w:p>
    <w:p w14:paraId="61E1B605" w14:textId="77777777" w:rsidR="00AC2015" w:rsidRDefault="00AC2015">
      <w:pPr>
        <w:numPr>
          <w:ilvl w:val="0"/>
          <w:numId w:val="17"/>
        </w:numPr>
      </w:pPr>
      <w:r w:rsidRPr="00AC2015">
        <w:t>A hatóság által kért légköri stabilitási indexek (MSZ 21459/1 alapján):</w:t>
      </w:r>
    </w:p>
    <w:p w14:paraId="38D1359B" w14:textId="77777777" w:rsidR="00AC2015" w:rsidRDefault="00AC2015">
      <w:pPr>
        <w:numPr>
          <w:ilvl w:val="1"/>
          <w:numId w:val="17"/>
        </w:numPr>
      </w:pPr>
      <w:r w:rsidRPr="00AC2015">
        <w:rPr>
          <w:b/>
          <w:bCs/>
        </w:rPr>
        <w:t>Normális légállapot indexe:</w:t>
      </w:r>
      <w:r>
        <w:t xml:space="preserve"> </w:t>
      </w:r>
      <w:r w:rsidRPr="00AC2015">
        <w:rPr>
          <w:b/>
          <w:bCs/>
        </w:rPr>
        <w:t>IV. stabilitási osztály</w:t>
      </w:r>
      <w:r>
        <w:t xml:space="preserve"> (Semleges/átlagos légköri állapot, kiegyensúlyozott hígulási rátával).</w:t>
      </w:r>
    </w:p>
    <w:p w14:paraId="282E7A30" w14:textId="3A8C70D4" w:rsidR="00AC2015" w:rsidRDefault="00AC2015">
      <w:pPr>
        <w:numPr>
          <w:ilvl w:val="1"/>
          <w:numId w:val="17"/>
        </w:numPr>
      </w:pPr>
      <w:r w:rsidRPr="00AC2015">
        <w:rPr>
          <w:b/>
          <w:bCs/>
        </w:rPr>
        <w:t>Erős inverzió indexe:</w:t>
      </w:r>
      <w:r>
        <w:t xml:space="preserve"> </w:t>
      </w:r>
      <w:r w:rsidRPr="00AC2015">
        <w:rPr>
          <w:b/>
          <w:bCs/>
        </w:rPr>
        <w:t>VI. stabilitási osztály</w:t>
      </w:r>
      <w:r>
        <w:t xml:space="preserve"> (Erősen stabil légállapot, függőleges keveredés nélküli, talajközeli fókuszált terjedést mutató </w:t>
      </w:r>
      <w:proofErr w:type="spellStart"/>
      <w:r>
        <w:t>worst-case</w:t>
      </w:r>
      <w:proofErr w:type="spellEnd"/>
      <w:r>
        <w:t xml:space="preserve"> forgatókönyv).</w:t>
      </w:r>
    </w:p>
    <w:p w14:paraId="30D5BA9A" w14:textId="2A170ED3" w:rsidR="00AC2015" w:rsidRDefault="005F7214" w:rsidP="00AC2015">
      <w:r>
        <w:rPr>
          <w:noProof/>
        </w:rPr>
        <w:lastRenderedPageBreak/>
        <w:drawing>
          <wp:inline distT="0" distB="0" distL="0" distR="0" wp14:anchorId="51A07889" wp14:editId="2666D674">
            <wp:extent cx="5759450" cy="3826510"/>
            <wp:effectExtent l="0" t="0" r="0" b="2540"/>
            <wp:docPr id="2086618820"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618820" name="Kép 2086618820"/>
                    <pic:cNvPicPr/>
                  </pic:nvPicPr>
                  <pic:blipFill>
                    <a:blip r:embed="rId13">
                      <a:extLst>
                        <a:ext uri="{28A0092B-C50C-407E-A947-70E740481C1C}">
                          <a14:useLocalDpi xmlns:a14="http://schemas.microsoft.com/office/drawing/2010/main" val="0"/>
                        </a:ext>
                      </a:extLst>
                    </a:blip>
                    <a:stretch>
                      <a:fillRect/>
                    </a:stretch>
                  </pic:blipFill>
                  <pic:spPr>
                    <a:xfrm>
                      <a:off x="0" y="0"/>
                      <a:ext cx="5759450" cy="3826510"/>
                    </a:xfrm>
                    <a:prstGeom prst="rect">
                      <a:avLst/>
                    </a:prstGeom>
                  </pic:spPr>
                </pic:pic>
              </a:graphicData>
            </a:graphic>
          </wp:inline>
        </w:drawing>
      </w:r>
    </w:p>
    <w:p w14:paraId="70C5A36A" w14:textId="7E9EF96D" w:rsidR="00C855E1" w:rsidRDefault="00E5343C" w:rsidP="00E5343C">
      <w:pPr>
        <w:pStyle w:val="Kpalrs"/>
      </w:pPr>
      <w:r>
        <w:fldChar w:fldCharType="begin"/>
      </w:r>
      <w:r>
        <w:instrText xml:space="preserve"> SEQ ábra \* ARABIC </w:instrText>
      </w:r>
      <w:r>
        <w:fldChar w:fldCharType="separate"/>
      </w:r>
      <w:r w:rsidR="00DC241F">
        <w:t>1</w:t>
      </w:r>
      <w:r>
        <w:fldChar w:fldCharType="end"/>
      </w:r>
      <w:r>
        <w:t>. ábra: Bűzszűmítás normális stabilitási indexxel</w:t>
      </w:r>
    </w:p>
    <w:p w14:paraId="503D46DC" w14:textId="2903250A" w:rsidR="00C855E1" w:rsidRDefault="005F7214" w:rsidP="00D8220C">
      <w:r>
        <w:rPr>
          <w:noProof/>
        </w:rPr>
        <w:drawing>
          <wp:inline distT="0" distB="0" distL="0" distR="0" wp14:anchorId="78B0A90D" wp14:editId="1E96FD88">
            <wp:extent cx="5759450" cy="3322955"/>
            <wp:effectExtent l="0" t="0" r="0" b="0"/>
            <wp:docPr id="161976842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768424" name="Kép 1619768424"/>
                    <pic:cNvPicPr/>
                  </pic:nvPicPr>
                  <pic:blipFill>
                    <a:blip r:embed="rId14">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0286A536" w14:textId="1773BD02" w:rsidR="00E5343C" w:rsidRDefault="00E5343C" w:rsidP="00E5343C">
      <w:pPr>
        <w:pStyle w:val="Kpalrs"/>
      </w:pPr>
      <w:r>
        <w:fldChar w:fldCharType="begin"/>
      </w:r>
      <w:r>
        <w:instrText xml:space="preserve"> SEQ ábra \* ARABIC </w:instrText>
      </w:r>
      <w:r>
        <w:fldChar w:fldCharType="separate"/>
      </w:r>
      <w:r w:rsidR="00DC241F">
        <w:t>2</w:t>
      </w:r>
      <w:r>
        <w:fldChar w:fldCharType="end"/>
      </w:r>
      <w:r>
        <w:t>. ábra: Bűzszűmítás normális stabilitási indexxel</w:t>
      </w:r>
      <w:r w:rsidR="00267CD0">
        <w:t xml:space="preserve"> - diagram</w:t>
      </w:r>
    </w:p>
    <w:p w14:paraId="7A723FBC" w14:textId="2D758AF0" w:rsidR="002D7FF3" w:rsidRDefault="00B45D42" w:rsidP="00D8220C">
      <w:r>
        <w:rPr>
          <w:noProof/>
        </w:rPr>
        <w:lastRenderedPageBreak/>
        <w:drawing>
          <wp:inline distT="0" distB="0" distL="0" distR="0" wp14:anchorId="115FF2A8" wp14:editId="55AD5391">
            <wp:extent cx="5759450" cy="3826510"/>
            <wp:effectExtent l="0" t="0" r="0" b="2540"/>
            <wp:docPr id="1846939802"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939802" name="Kép 1846939802"/>
                    <pic:cNvPicPr/>
                  </pic:nvPicPr>
                  <pic:blipFill>
                    <a:blip r:embed="rId15">
                      <a:extLst>
                        <a:ext uri="{28A0092B-C50C-407E-A947-70E740481C1C}">
                          <a14:useLocalDpi xmlns:a14="http://schemas.microsoft.com/office/drawing/2010/main" val="0"/>
                        </a:ext>
                      </a:extLst>
                    </a:blip>
                    <a:stretch>
                      <a:fillRect/>
                    </a:stretch>
                  </pic:blipFill>
                  <pic:spPr>
                    <a:xfrm>
                      <a:off x="0" y="0"/>
                      <a:ext cx="5759450" cy="3826510"/>
                    </a:xfrm>
                    <a:prstGeom prst="rect">
                      <a:avLst/>
                    </a:prstGeom>
                  </pic:spPr>
                </pic:pic>
              </a:graphicData>
            </a:graphic>
          </wp:inline>
        </w:drawing>
      </w:r>
    </w:p>
    <w:p w14:paraId="77D6A1CC" w14:textId="4DD0860A" w:rsidR="005F7214" w:rsidRDefault="005F7214" w:rsidP="005F7214">
      <w:pPr>
        <w:pStyle w:val="Kpalrs"/>
      </w:pPr>
      <w:r>
        <w:fldChar w:fldCharType="begin"/>
      </w:r>
      <w:r>
        <w:instrText xml:space="preserve"> SEQ ábra \* ARABIC </w:instrText>
      </w:r>
      <w:r>
        <w:fldChar w:fldCharType="separate"/>
      </w:r>
      <w:r w:rsidR="00DC241F">
        <w:t>3</w:t>
      </w:r>
      <w:r>
        <w:fldChar w:fldCharType="end"/>
      </w:r>
      <w:r>
        <w:t>. ábra: Bűzszűmítás erős inverziós stabilitási indexxel</w:t>
      </w:r>
    </w:p>
    <w:p w14:paraId="0F529B9A" w14:textId="42E2B328" w:rsidR="002D7FF3" w:rsidRDefault="00B45D42" w:rsidP="00D8220C">
      <w:r>
        <w:rPr>
          <w:noProof/>
        </w:rPr>
        <w:drawing>
          <wp:inline distT="0" distB="0" distL="0" distR="0" wp14:anchorId="0DFFE55E" wp14:editId="19D4E0AE">
            <wp:extent cx="5759450" cy="3322955"/>
            <wp:effectExtent l="0" t="0" r="0" b="0"/>
            <wp:docPr id="1775206561"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06561" name="Kép 1775206561"/>
                    <pic:cNvPicPr/>
                  </pic:nvPicPr>
                  <pic:blipFill>
                    <a:blip r:embed="rId16">
                      <a:extLst>
                        <a:ext uri="{28A0092B-C50C-407E-A947-70E740481C1C}">
                          <a14:useLocalDpi xmlns:a14="http://schemas.microsoft.com/office/drawing/2010/main" val="0"/>
                        </a:ext>
                      </a:extLst>
                    </a:blip>
                    <a:stretch>
                      <a:fillRect/>
                    </a:stretch>
                  </pic:blipFill>
                  <pic:spPr>
                    <a:xfrm>
                      <a:off x="0" y="0"/>
                      <a:ext cx="5759450" cy="3322955"/>
                    </a:xfrm>
                    <a:prstGeom prst="rect">
                      <a:avLst/>
                    </a:prstGeom>
                  </pic:spPr>
                </pic:pic>
              </a:graphicData>
            </a:graphic>
          </wp:inline>
        </w:drawing>
      </w:r>
    </w:p>
    <w:p w14:paraId="62A29954" w14:textId="7F9265C1" w:rsidR="005F7214" w:rsidRDefault="005F7214" w:rsidP="005F7214">
      <w:pPr>
        <w:pStyle w:val="Kpalrs"/>
      </w:pPr>
      <w:r>
        <w:fldChar w:fldCharType="begin"/>
      </w:r>
      <w:r>
        <w:instrText xml:space="preserve"> SEQ ábra \* ARABIC </w:instrText>
      </w:r>
      <w:r>
        <w:fldChar w:fldCharType="separate"/>
      </w:r>
      <w:r w:rsidR="00DC241F">
        <w:t>4</w:t>
      </w:r>
      <w:r>
        <w:fldChar w:fldCharType="end"/>
      </w:r>
      <w:r>
        <w:t>. ábra: Bűzszűmítás erős inverziós stabilitási indexxel - diagram</w:t>
      </w:r>
    </w:p>
    <w:p w14:paraId="4C8FE333" w14:textId="6916EBEB" w:rsidR="005F7214" w:rsidRDefault="00222F36" w:rsidP="00222F36">
      <w:pPr>
        <w:pStyle w:val="Cmsor2"/>
      </w:pPr>
      <w:bookmarkStart w:id="22" w:name="_Toc231161044"/>
      <w:r w:rsidRPr="00222F36">
        <w:lastRenderedPageBreak/>
        <w:t>Számítási eredmények és védőtávolságok</w:t>
      </w:r>
      <w:bookmarkEnd w:id="22"/>
    </w:p>
    <w:p w14:paraId="32AB337C" w14:textId="464DEF98" w:rsidR="005F7214" w:rsidRDefault="00222F36" w:rsidP="00D8220C">
      <w:r w:rsidRPr="00222F36">
        <w:t>A Hatástávolság program diszperziós egyenleteinek lefuttatása után kapott hivatalos kimeneti eredmények alapján a talajközeli szagkoncentrációk eloszlása a forrástól mért távolság függvényében az alábbiak szerint alakul:</w:t>
      </w:r>
    </w:p>
    <w:tbl>
      <w:tblPr>
        <w:tblStyle w:val="Fekvtblzat"/>
        <w:tblW w:w="0" w:type="auto"/>
        <w:tblLook w:val="04A0" w:firstRow="1" w:lastRow="0" w:firstColumn="1" w:lastColumn="0" w:noHBand="0" w:noVBand="1"/>
      </w:tblPr>
      <w:tblGrid>
        <w:gridCol w:w="2262"/>
        <w:gridCol w:w="2259"/>
        <w:gridCol w:w="2259"/>
        <w:gridCol w:w="2260"/>
      </w:tblGrid>
      <w:tr w:rsidR="00222F36" w:rsidRPr="009D7413" w14:paraId="0F7508F6" w14:textId="77777777" w:rsidTr="009D7413">
        <w:trPr>
          <w:cnfStyle w:val="100000000000" w:firstRow="1" w:lastRow="0" w:firstColumn="0" w:lastColumn="0" w:oddVBand="0" w:evenVBand="0" w:oddHBand="0" w:evenHBand="0" w:firstRowFirstColumn="0" w:firstRowLastColumn="0" w:lastRowFirstColumn="0" w:lastRowLastColumn="0"/>
        </w:trPr>
        <w:tc>
          <w:tcPr>
            <w:tcW w:w="2265" w:type="dxa"/>
          </w:tcPr>
          <w:p w14:paraId="704AC3B4" w14:textId="517D01C4" w:rsidR="00222F36" w:rsidRPr="009D7413" w:rsidRDefault="00222F36" w:rsidP="009D7413">
            <w:pPr>
              <w:spacing w:after="0"/>
              <w:jc w:val="center"/>
            </w:pPr>
            <w:r w:rsidRPr="009D7413">
              <w:rPr>
                <w:rStyle w:val="Kiemels2"/>
                <w:b/>
                <w:bCs w:val="0"/>
              </w:rPr>
              <w:t>Vizsgálandó küszöbérték (SZE/m</w:t>
            </w:r>
            <w:r w:rsidRPr="009D7413">
              <w:rPr>
                <w:rStyle w:val="Kiemels2"/>
                <w:b/>
                <w:bCs w:val="0"/>
                <w:vertAlign w:val="superscript"/>
              </w:rPr>
              <w:t>3</w:t>
            </w:r>
            <w:r w:rsidRPr="009D7413">
              <w:rPr>
                <w:rStyle w:val="Kiemels2"/>
                <w:b/>
                <w:bCs w:val="0"/>
              </w:rPr>
              <w:t>)</w:t>
            </w:r>
          </w:p>
        </w:tc>
        <w:tc>
          <w:tcPr>
            <w:tcW w:w="2265" w:type="dxa"/>
          </w:tcPr>
          <w:p w14:paraId="7F42D6BC" w14:textId="20A113B0" w:rsidR="00222F36" w:rsidRPr="009D7413" w:rsidRDefault="00222F36" w:rsidP="009D7413">
            <w:pPr>
              <w:jc w:val="center"/>
            </w:pPr>
            <w:r w:rsidRPr="009D7413">
              <w:t>Távolsága S=6 Normális légállapot mellett (m)</w:t>
            </w:r>
          </w:p>
        </w:tc>
        <w:tc>
          <w:tcPr>
            <w:tcW w:w="2265" w:type="dxa"/>
          </w:tcPr>
          <w:p w14:paraId="4234DE5C" w14:textId="1D90434A" w:rsidR="00222F36" w:rsidRPr="009D7413" w:rsidRDefault="00222F36" w:rsidP="009D7413">
            <w:pPr>
              <w:jc w:val="center"/>
            </w:pPr>
            <w:r w:rsidRPr="009D7413">
              <w:t>Távolsága S=1 Erős inverzió mellett (m)</w:t>
            </w:r>
          </w:p>
        </w:tc>
        <w:tc>
          <w:tcPr>
            <w:tcW w:w="2265" w:type="dxa"/>
          </w:tcPr>
          <w:p w14:paraId="01435734" w14:textId="5788BD1F" w:rsidR="00222F36" w:rsidRPr="009D7413" w:rsidRDefault="009D7413" w:rsidP="009D7413">
            <w:pPr>
              <w:jc w:val="center"/>
            </w:pPr>
            <w:r w:rsidRPr="009D7413">
              <w:t>Hatósági és szakmai minősítés (4/2011. VM rendelet alapján)</w:t>
            </w:r>
          </w:p>
        </w:tc>
      </w:tr>
      <w:tr w:rsidR="00222F36" w14:paraId="1211C395" w14:textId="77777777" w:rsidTr="00127A84">
        <w:tc>
          <w:tcPr>
            <w:tcW w:w="2265" w:type="dxa"/>
          </w:tcPr>
          <w:p w14:paraId="17E57926" w14:textId="5773C11E" w:rsidR="00222F36" w:rsidRPr="00127A84" w:rsidRDefault="009D7413" w:rsidP="00D8220C">
            <w:pPr>
              <w:rPr>
                <w:b/>
                <w:bCs/>
              </w:rPr>
            </w:pPr>
            <w:r w:rsidRPr="00127A84">
              <w:t>6,0</w:t>
            </w:r>
            <w:r w:rsidRPr="00127A84">
              <w:rPr>
                <w:b/>
                <w:bCs/>
              </w:rPr>
              <w:t xml:space="preserve"> </w:t>
            </w:r>
            <w:r w:rsidRPr="00127A84">
              <w:rPr>
                <w:rStyle w:val="Kiemels2"/>
                <w:b w:val="0"/>
                <w:bCs w:val="0"/>
              </w:rPr>
              <w:t>SZE/m</w:t>
            </w:r>
            <w:r w:rsidRPr="00127A84">
              <w:rPr>
                <w:rStyle w:val="Kiemels2"/>
                <w:b w:val="0"/>
                <w:bCs w:val="0"/>
                <w:vertAlign w:val="superscript"/>
              </w:rPr>
              <w:t>3</w:t>
            </w:r>
          </w:p>
        </w:tc>
        <w:tc>
          <w:tcPr>
            <w:tcW w:w="2265" w:type="dxa"/>
          </w:tcPr>
          <w:p w14:paraId="59655320" w14:textId="630E7E1E" w:rsidR="00222F36" w:rsidRPr="0005704F" w:rsidRDefault="00127A84" w:rsidP="00127A84">
            <w:pPr>
              <w:jc w:val="center"/>
            </w:pPr>
            <w:r w:rsidRPr="0005704F">
              <w:t>3</w:t>
            </w:r>
          </w:p>
        </w:tc>
        <w:tc>
          <w:tcPr>
            <w:tcW w:w="2265" w:type="dxa"/>
          </w:tcPr>
          <w:p w14:paraId="1F32CA2E" w14:textId="69BE1456" w:rsidR="00222F36" w:rsidRPr="0005704F" w:rsidRDefault="00127A84" w:rsidP="00127A84">
            <w:pPr>
              <w:jc w:val="center"/>
            </w:pPr>
            <w:r w:rsidRPr="0005704F">
              <w:t>185</w:t>
            </w:r>
          </w:p>
        </w:tc>
        <w:tc>
          <w:tcPr>
            <w:tcW w:w="2265" w:type="dxa"/>
          </w:tcPr>
          <w:p w14:paraId="7A8316E2" w14:textId="2B5C692E" w:rsidR="00222F36" w:rsidRPr="0005704F" w:rsidRDefault="00127A84" w:rsidP="00127A84">
            <w:pPr>
              <w:jc w:val="center"/>
            </w:pPr>
            <w:r w:rsidRPr="0005704F">
              <w:t>Markáns, intenzív szaghatás zónája (telep közvetlen környezete)</w:t>
            </w:r>
          </w:p>
        </w:tc>
      </w:tr>
      <w:tr w:rsidR="00222F36" w14:paraId="7383A954" w14:textId="77777777" w:rsidTr="00127A84">
        <w:tc>
          <w:tcPr>
            <w:tcW w:w="2265" w:type="dxa"/>
          </w:tcPr>
          <w:p w14:paraId="4E88D8C2" w14:textId="0335DA39" w:rsidR="00222F36" w:rsidRPr="00127A84" w:rsidRDefault="009D7413" w:rsidP="00D8220C">
            <w:pPr>
              <w:rPr>
                <w:b/>
                <w:bCs/>
              </w:rPr>
            </w:pPr>
            <w:r w:rsidRPr="00127A84">
              <w:t>5,0</w:t>
            </w:r>
            <w:r w:rsidRPr="00127A84">
              <w:rPr>
                <w:b/>
                <w:bCs/>
              </w:rPr>
              <w:t xml:space="preserve"> </w:t>
            </w:r>
            <w:r w:rsidRPr="00127A84">
              <w:rPr>
                <w:rStyle w:val="Kiemels2"/>
                <w:b w:val="0"/>
                <w:bCs w:val="0"/>
              </w:rPr>
              <w:t>SZE/m</w:t>
            </w:r>
            <w:r w:rsidRPr="00127A84">
              <w:rPr>
                <w:rStyle w:val="Kiemels2"/>
                <w:b w:val="0"/>
                <w:bCs w:val="0"/>
                <w:vertAlign w:val="superscript"/>
              </w:rPr>
              <w:t>3</w:t>
            </w:r>
          </w:p>
        </w:tc>
        <w:tc>
          <w:tcPr>
            <w:tcW w:w="2265" w:type="dxa"/>
          </w:tcPr>
          <w:p w14:paraId="72F07C11" w14:textId="04118F1B" w:rsidR="00222F36" w:rsidRPr="0005704F" w:rsidRDefault="00127A84" w:rsidP="00127A84">
            <w:pPr>
              <w:jc w:val="center"/>
            </w:pPr>
            <w:r w:rsidRPr="0005704F">
              <w:t>82</w:t>
            </w:r>
          </w:p>
        </w:tc>
        <w:tc>
          <w:tcPr>
            <w:tcW w:w="2265" w:type="dxa"/>
          </w:tcPr>
          <w:p w14:paraId="0ED4801B" w14:textId="1ACB32DF" w:rsidR="00222F36" w:rsidRPr="0005704F" w:rsidRDefault="00127A84" w:rsidP="00127A84">
            <w:pPr>
              <w:jc w:val="center"/>
            </w:pPr>
            <w:r w:rsidRPr="0005704F">
              <w:t>215</w:t>
            </w:r>
          </w:p>
        </w:tc>
        <w:tc>
          <w:tcPr>
            <w:tcW w:w="2265" w:type="dxa"/>
          </w:tcPr>
          <w:p w14:paraId="09433CE4" w14:textId="2567DE16" w:rsidR="00222F36" w:rsidRPr="0005704F" w:rsidRDefault="00127A84" w:rsidP="00127A84">
            <w:pPr>
              <w:jc w:val="center"/>
            </w:pPr>
            <w:r w:rsidRPr="0005704F">
              <w:t>Észlelhető, jól elkülöníthető szaghatás</w:t>
            </w:r>
          </w:p>
        </w:tc>
      </w:tr>
      <w:tr w:rsidR="00222F36" w:rsidRPr="009D7413" w14:paraId="6470D1A2" w14:textId="77777777" w:rsidTr="00127A84">
        <w:tc>
          <w:tcPr>
            <w:tcW w:w="2265" w:type="dxa"/>
          </w:tcPr>
          <w:p w14:paraId="1D03E5B1" w14:textId="78312974" w:rsidR="00222F36" w:rsidRPr="009D7413" w:rsidRDefault="009D7413" w:rsidP="00D8220C">
            <w:r w:rsidRPr="009D7413">
              <w:rPr>
                <w:b/>
                <w:bCs/>
              </w:rPr>
              <w:t>3,0</w:t>
            </w:r>
            <w:r w:rsidRPr="009D7413">
              <w:t xml:space="preserve"> </w:t>
            </w:r>
            <w:r w:rsidRPr="009D7413">
              <w:rPr>
                <w:rStyle w:val="Kiemels2"/>
              </w:rPr>
              <w:t>SZE/m</w:t>
            </w:r>
            <w:r w:rsidRPr="009D7413">
              <w:rPr>
                <w:rStyle w:val="Kiemels2"/>
                <w:vertAlign w:val="superscript"/>
              </w:rPr>
              <w:t>3</w:t>
            </w:r>
          </w:p>
        </w:tc>
        <w:tc>
          <w:tcPr>
            <w:tcW w:w="2265" w:type="dxa"/>
          </w:tcPr>
          <w:p w14:paraId="398F799D" w14:textId="3B05C100" w:rsidR="00222F36" w:rsidRPr="0005704F" w:rsidRDefault="00127A84" w:rsidP="00127A84">
            <w:pPr>
              <w:jc w:val="center"/>
              <w:rPr>
                <w:b/>
                <w:bCs/>
              </w:rPr>
            </w:pPr>
            <w:r w:rsidRPr="0005704F">
              <w:rPr>
                <w:b/>
                <w:bCs/>
              </w:rPr>
              <w:t>113</w:t>
            </w:r>
          </w:p>
        </w:tc>
        <w:tc>
          <w:tcPr>
            <w:tcW w:w="2265" w:type="dxa"/>
          </w:tcPr>
          <w:p w14:paraId="50394C5C" w14:textId="29D73465" w:rsidR="00222F36" w:rsidRPr="0005704F" w:rsidRDefault="00127A84" w:rsidP="00127A84">
            <w:pPr>
              <w:jc w:val="center"/>
              <w:rPr>
                <w:b/>
                <w:bCs/>
              </w:rPr>
            </w:pPr>
            <w:r w:rsidRPr="0005704F">
              <w:rPr>
                <w:b/>
                <w:bCs/>
              </w:rPr>
              <w:t>324</w:t>
            </w:r>
          </w:p>
        </w:tc>
        <w:tc>
          <w:tcPr>
            <w:tcW w:w="2265" w:type="dxa"/>
          </w:tcPr>
          <w:p w14:paraId="41333479" w14:textId="0D50B9F0" w:rsidR="00222F36" w:rsidRPr="0005704F" w:rsidRDefault="00127A84" w:rsidP="00127A84">
            <w:pPr>
              <w:jc w:val="center"/>
              <w:rPr>
                <w:b/>
                <w:bCs/>
              </w:rPr>
            </w:pPr>
            <w:r w:rsidRPr="0005704F">
              <w:rPr>
                <w:b/>
                <w:bCs/>
              </w:rPr>
              <w:t>Kötelező jogszabályi tervezési irányérték határa (Állattartás)</w:t>
            </w:r>
          </w:p>
        </w:tc>
      </w:tr>
      <w:tr w:rsidR="00222F36" w14:paraId="335D8F8C" w14:textId="77777777" w:rsidTr="00127A84">
        <w:tc>
          <w:tcPr>
            <w:tcW w:w="2265" w:type="dxa"/>
          </w:tcPr>
          <w:p w14:paraId="57271F39" w14:textId="59D6A260" w:rsidR="00222F36" w:rsidRPr="009D7413" w:rsidRDefault="009D7413" w:rsidP="00D8220C">
            <w:pPr>
              <w:rPr>
                <w:b/>
                <w:bCs/>
              </w:rPr>
            </w:pPr>
            <w:r w:rsidRPr="00127A84">
              <w:t>1,5</w:t>
            </w:r>
            <w:r w:rsidRPr="009D7413">
              <w:rPr>
                <w:b/>
                <w:bCs/>
              </w:rPr>
              <w:t xml:space="preserve"> </w:t>
            </w:r>
            <w:r w:rsidRPr="009D7413">
              <w:rPr>
                <w:rStyle w:val="Kiemels2"/>
                <w:b w:val="0"/>
                <w:bCs w:val="0"/>
              </w:rPr>
              <w:t>SZE/m</w:t>
            </w:r>
            <w:r w:rsidRPr="009D7413">
              <w:rPr>
                <w:rStyle w:val="Kiemels2"/>
                <w:b w:val="0"/>
                <w:bCs w:val="0"/>
                <w:vertAlign w:val="superscript"/>
              </w:rPr>
              <w:t>3</w:t>
            </w:r>
          </w:p>
        </w:tc>
        <w:tc>
          <w:tcPr>
            <w:tcW w:w="2265" w:type="dxa"/>
          </w:tcPr>
          <w:p w14:paraId="12E5B2B7" w14:textId="2EB764B1" w:rsidR="00222F36" w:rsidRPr="0005704F" w:rsidRDefault="00127A84" w:rsidP="00127A84">
            <w:pPr>
              <w:jc w:val="center"/>
            </w:pPr>
            <w:r w:rsidRPr="0005704F">
              <w:t>175</w:t>
            </w:r>
          </w:p>
        </w:tc>
        <w:tc>
          <w:tcPr>
            <w:tcW w:w="2265" w:type="dxa"/>
          </w:tcPr>
          <w:p w14:paraId="1105C444" w14:textId="5B1DE6B9" w:rsidR="00222F36" w:rsidRPr="0005704F" w:rsidRDefault="00127A84" w:rsidP="00127A84">
            <w:pPr>
              <w:jc w:val="center"/>
            </w:pPr>
            <w:r w:rsidRPr="0005704F">
              <w:t>563</w:t>
            </w:r>
          </w:p>
        </w:tc>
        <w:tc>
          <w:tcPr>
            <w:tcW w:w="2265" w:type="dxa"/>
          </w:tcPr>
          <w:p w14:paraId="25471782" w14:textId="3BF98F8F" w:rsidR="00222F36" w:rsidRPr="0005704F" w:rsidRDefault="00127A84" w:rsidP="00127A84">
            <w:pPr>
              <w:jc w:val="center"/>
            </w:pPr>
            <w:r w:rsidRPr="0005704F">
              <w:t>Gyenge, háttérbe olvadó fluktuáció zónája</w:t>
            </w:r>
          </w:p>
        </w:tc>
      </w:tr>
      <w:tr w:rsidR="00222F36" w14:paraId="77950358" w14:textId="77777777" w:rsidTr="00127A84">
        <w:tc>
          <w:tcPr>
            <w:tcW w:w="2265" w:type="dxa"/>
          </w:tcPr>
          <w:p w14:paraId="2758C5FA" w14:textId="1754342C" w:rsidR="00222F36" w:rsidRPr="009D7413" w:rsidRDefault="009D7413" w:rsidP="00D8220C">
            <w:pPr>
              <w:rPr>
                <w:b/>
                <w:bCs/>
              </w:rPr>
            </w:pPr>
            <w:r w:rsidRPr="009D7413">
              <w:rPr>
                <w:b/>
                <w:bCs/>
              </w:rPr>
              <w:t xml:space="preserve">1,0 </w:t>
            </w:r>
            <w:r w:rsidRPr="00127A84">
              <w:rPr>
                <w:rStyle w:val="Kiemels2"/>
              </w:rPr>
              <w:t>SZE/m</w:t>
            </w:r>
            <w:r w:rsidRPr="00127A84">
              <w:rPr>
                <w:rStyle w:val="Kiemels2"/>
                <w:vertAlign w:val="superscript"/>
              </w:rPr>
              <w:t>3</w:t>
            </w:r>
          </w:p>
        </w:tc>
        <w:tc>
          <w:tcPr>
            <w:tcW w:w="2265" w:type="dxa"/>
          </w:tcPr>
          <w:p w14:paraId="13AFD2AD" w14:textId="50305DF3" w:rsidR="00222F36" w:rsidRPr="009D7413" w:rsidRDefault="00127A84" w:rsidP="00127A84">
            <w:pPr>
              <w:jc w:val="center"/>
              <w:rPr>
                <w:b/>
                <w:bCs/>
              </w:rPr>
            </w:pPr>
            <w:r>
              <w:rPr>
                <w:b/>
                <w:bCs/>
              </w:rPr>
              <w:t>225</w:t>
            </w:r>
          </w:p>
        </w:tc>
        <w:tc>
          <w:tcPr>
            <w:tcW w:w="2265" w:type="dxa"/>
          </w:tcPr>
          <w:p w14:paraId="5B31FBEE" w14:textId="6995315D" w:rsidR="00222F36" w:rsidRPr="009D7413" w:rsidRDefault="00127A84" w:rsidP="00127A84">
            <w:pPr>
              <w:jc w:val="center"/>
              <w:rPr>
                <w:b/>
                <w:bCs/>
              </w:rPr>
            </w:pPr>
            <w:r>
              <w:rPr>
                <w:b/>
                <w:bCs/>
              </w:rPr>
              <w:t>776</w:t>
            </w:r>
          </w:p>
        </w:tc>
        <w:tc>
          <w:tcPr>
            <w:tcW w:w="2265" w:type="dxa"/>
          </w:tcPr>
          <w:p w14:paraId="279AC56F" w14:textId="68A448E9" w:rsidR="00222F36" w:rsidRPr="009D7413" w:rsidRDefault="0005704F" w:rsidP="00127A84">
            <w:pPr>
              <w:jc w:val="center"/>
              <w:rPr>
                <w:b/>
                <w:bCs/>
              </w:rPr>
            </w:pPr>
            <w:r w:rsidRPr="0005704F">
              <w:rPr>
                <w:b/>
                <w:bCs/>
              </w:rPr>
              <w:t>Hatósági elvárás szerinti</w:t>
            </w:r>
            <w:r>
              <w:rPr>
                <w:b/>
                <w:bCs/>
              </w:rPr>
              <w:t>,</w:t>
            </w:r>
            <w:r w:rsidRPr="0005704F">
              <w:rPr>
                <w:b/>
                <w:bCs/>
              </w:rPr>
              <w:t xml:space="preserve"> elméleti szagészlelési küszöb határa</w:t>
            </w:r>
          </w:p>
        </w:tc>
      </w:tr>
    </w:tbl>
    <w:p w14:paraId="55C427E4" w14:textId="2566764E" w:rsidR="005F7214" w:rsidRDefault="0005704F" w:rsidP="0005704F">
      <w:pPr>
        <w:pStyle w:val="Kpalrs"/>
      </w:pPr>
      <w:r>
        <w:fldChar w:fldCharType="begin"/>
      </w:r>
      <w:r>
        <w:instrText xml:space="preserve"> SEQ táblázat \* ARABIC </w:instrText>
      </w:r>
      <w:r>
        <w:fldChar w:fldCharType="separate"/>
      </w:r>
      <w:r w:rsidR="00DC241F">
        <w:t>1</w:t>
      </w:r>
      <w:r>
        <w:fldChar w:fldCharType="end"/>
      </w:r>
      <w:r>
        <w:t xml:space="preserve">. táblázat: </w:t>
      </w:r>
      <w:r w:rsidRPr="0005704F">
        <w:t xml:space="preserve">Szagimmissziós védőtávolságok összefoglaló mátrixa </w:t>
      </w:r>
      <w:r>
        <w:t>(állattartás és hígtrágya tárolás)</w:t>
      </w:r>
    </w:p>
    <w:p w14:paraId="4496EBAF" w14:textId="452B14F7" w:rsidR="00AF1845" w:rsidRDefault="00AF1845" w:rsidP="00AF1845">
      <w:r>
        <w:rPr>
          <w:noProof/>
        </w:rPr>
        <w:lastRenderedPageBreak/>
        <w:drawing>
          <wp:inline distT="0" distB="0" distL="0" distR="0" wp14:anchorId="12823F0F" wp14:editId="0E4DC0F8">
            <wp:extent cx="5753735" cy="4062730"/>
            <wp:effectExtent l="0" t="0" r="0" b="0"/>
            <wp:docPr id="2114141885"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735" cy="4062730"/>
                    </a:xfrm>
                    <a:prstGeom prst="rect">
                      <a:avLst/>
                    </a:prstGeom>
                    <a:noFill/>
                    <a:ln>
                      <a:noFill/>
                    </a:ln>
                  </pic:spPr>
                </pic:pic>
              </a:graphicData>
            </a:graphic>
          </wp:inline>
        </w:drawing>
      </w:r>
    </w:p>
    <w:p w14:paraId="3EA2FF25" w14:textId="178EAE0C" w:rsidR="00AF1845" w:rsidRDefault="00AF1845" w:rsidP="00AF1845">
      <w:pPr>
        <w:pStyle w:val="Kpalrs"/>
      </w:pPr>
      <w:r>
        <w:fldChar w:fldCharType="begin"/>
      </w:r>
      <w:r>
        <w:instrText xml:space="preserve"> SEQ ábra \* ARABIC </w:instrText>
      </w:r>
      <w:r>
        <w:fldChar w:fldCharType="separate"/>
      </w:r>
      <w:r w:rsidR="00DC241F">
        <w:t>5</w:t>
      </w:r>
      <w:r>
        <w:fldChar w:fldCharType="end"/>
      </w:r>
      <w:r>
        <w:t xml:space="preserve">. ábra: Bűzhatástávolság ábrázolás (készült: </w:t>
      </w:r>
      <w:r w:rsidRPr="00AF1845">
        <w:t>QGIS 3.44.8</w:t>
      </w:r>
      <w:r>
        <w:t>)</w:t>
      </w:r>
    </w:p>
    <w:p w14:paraId="501CA304" w14:textId="430B453D" w:rsidR="00222F36" w:rsidRDefault="0034031C" w:rsidP="00121DD8">
      <w:pPr>
        <w:pStyle w:val="Cmsor1"/>
      </w:pPr>
      <w:bookmarkStart w:id="23" w:name="_Toc231161045"/>
      <w:r w:rsidRPr="0034031C">
        <w:t>Részletes szakértői bűzvédelmi értékelés</w:t>
      </w:r>
      <w:bookmarkEnd w:id="23"/>
    </w:p>
    <w:p w14:paraId="2468FD1E" w14:textId="17DEAFE9" w:rsidR="0034031C" w:rsidRDefault="0034031C" w:rsidP="00D8220C">
      <w:r w:rsidRPr="0034031C">
        <w:t xml:space="preserve">A </w:t>
      </w:r>
      <w:r w:rsidRPr="0034031C">
        <w:rPr>
          <w:b/>
          <w:bCs/>
        </w:rPr>
        <w:t>Hatástávolság 8.0.0.12</w:t>
      </w:r>
      <w:r w:rsidRPr="0034031C">
        <w:t xml:space="preserve"> szakértői program transzmissziós diszperziós mátrixának, valamint a csatolt grafikus </w:t>
      </w:r>
      <w:proofErr w:type="spellStart"/>
      <w:r w:rsidRPr="0034031C">
        <w:t>izovonal</w:t>
      </w:r>
      <w:proofErr w:type="spellEnd"/>
      <w:r w:rsidRPr="0034031C">
        <w:t>-diagramoknak az összevont mérnöki elemzése alapján az alábbi, négy fő pillérre épített részletes szakértői értékelés rögzíthető a hatósági hiánypótlás követelményeinek teljesítésére</w:t>
      </w:r>
      <w:r>
        <w:t>.</w:t>
      </w:r>
    </w:p>
    <w:p w14:paraId="5BAA5047" w14:textId="18978151" w:rsidR="0034031C" w:rsidRDefault="0034031C" w:rsidP="0034031C">
      <w:pPr>
        <w:pStyle w:val="Cmsor2"/>
      </w:pPr>
      <w:bookmarkStart w:id="24" w:name="_Toc231161046"/>
      <w:r w:rsidRPr="0034031C">
        <w:t xml:space="preserve">A </w:t>
      </w:r>
      <w:r>
        <w:t xml:space="preserve">különböző </w:t>
      </w:r>
      <w:r w:rsidRPr="0034031C">
        <w:t xml:space="preserve">meteorológiai </w:t>
      </w:r>
      <w:r>
        <w:t>állapotok</w:t>
      </w:r>
      <w:r w:rsidRPr="0034031C">
        <w:t xml:space="preserve"> (S=6 és S=1) dinamikájának és hígulási mechanizmusának összehasonlítása</w:t>
      </w:r>
      <w:bookmarkEnd w:id="24"/>
    </w:p>
    <w:p w14:paraId="7D1754A1" w14:textId="6566C08B" w:rsidR="0034031C" w:rsidRPr="0034031C" w:rsidRDefault="0034031C" w:rsidP="0034031C">
      <w:r w:rsidRPr="0034031C">
        <w:t>A modellezés során vizsgált két légköri stabilitási osztály alapvetően eltérő fizikai környezetet teremt a szaganyagok légköri transzmissziójához, amelyet a szoftver a Gauss-féle szóródási együtthatók (</w:t>
      </w:r>
      <w:proofErr w:type="spellStart"/>
      <w:r w:rsidR="00B20C4B">
        <w:t>σ</w:t>
      </w:r>
      <w:r w:rsidRPr="00B20C4B">
        <w:rPr>
          <w:vertAlign w:val="subscript"/>
        </w:rPr>
        <w:t>y</w:t>
      </w:r>
      <w:proofErr w:type="spellEnd"/>
      <w:r w:rsidRPr="0034031C">
        <w:t xml:space="preserve"> és </w:t>
      </w:r>
      <w:proofErr w:type="spellStart"/>
      <w:r w:rsidR="00B20C4B">
        <w:t>σ</w:t>
      </w:r>
      <w:r w:rsidRPr="00B20C4B">
        <w:rPr>
          <w:vertAlign w:val="subscript"/>
        </w:rPr>
        <w:t>z</w:t>
      </w:r>
      <w:proofErr w:type="spellEnd"/>
      <w:r w:rsidRPr="0034031C">
        <w:t>) dinamikus változtatásával követ le.</w:t>
      </w:r>
    </w:p>
    <w:p w14:paraId="0316999B" w14:textId="4CFC4D62" w:rsidR="0034031C" w:rsidRPr="0034031C" w:rsidRDefault="0034031C" w:rsidP="00B20C4B">
      <w:r w:rsidRPr="0034031C">
        <w:rPr>
          <w:b/>
          <w:bCs/>
        </w:rPr>
        <w:t>Normális/Semleges légállapot (S=6) mellett:</w:t>
      </w:r>
      <w:r w:rsidRPr="0034031C">
        <w:t xml:space="preserve"> Az uralkodó 2,8 m/s-os szélsebesség és a kiegyensúlyozott vertikális hőmérsékleti profil mellett a mechanikus turbulencia hatékonyan keveri el a telepi eredő 10484 SZE/s erősségű szagáramot. Ennek a gyors hígulási rátának a következtében a szagkoncentráció gradiense meredeken zuhan: a kiindulási 18,90 SZE/m³-es talajközeli maximumról a szagfelhő már mindössze </w:t>
      </w:r>
      <w:r w:rsidRPr="0034031C">
        <w:rPr>
          <w:b/>
          <w:bCs/>
        </w:rPr>
        <w:t>113 méteres</w:t>
      </w:r>
      <w:r w:rsidRPr="0034031C">
        <w:t xml:space="preserve"> távolságban eléri a jogszabályi 3,0 SZE/m³-es tervezési irányértéket. Ez a távolság teljes egészében a beruházó saját ingatlanhatárain és a közvetlen környező mezőgazdasági utakon belül lezárul.</w:t>
      </w:r>
    </w:p>
    <w:p w14:paraId="150F7F31" w14:textId="580FD7EB" w:rsidR="0034031C" w:rsidRPr="0034031C" w:rsidRDefault="0034031C" w:rsidP="00666B36">
      <w:r w:rsidRPr="0034031C">
        <w:rPr>
          <w:b/>
          <w:bCs/>
        </w:rPr>
        <w:lastRenderedPageBreak/>
        <w:t xml:space="preserve">Erős inverziós légállapot (S=1) </w:t>
      </w:r>
      <w:proofErr w:type="spellStart"/>
      <w:r w:rsidRPr="0034031C">
        <w:rPr>
          <w:b/>
          <w:bCs/>
        </w:rPr>
        <w:t>worst-case</w:t>
      </w:r>
      <w:proofErr w:type="spellEnd"/>
      <w:r w:rsidRPr="0034031C">
        <w:rPr>
          <w:b/>
          <w:bCs/>
        </w:rPr>
        <w:t xml:space="preserve"> </w:t>
      </w:r>
      <w:r w:rsidR="00666B36">
        <w:rPr>
          <w:b/>
          <w:bCs/>
        </w:rPr>
        <w:t>légállapot</w:t>
      </w:r>
      <w:r w:rsidRPr="0034031C">
        <w:rPr>
          <w:b/>
          <w:bCs/>
        </w:rPr>
        <w:t xml:space="preserve"> mellett:</w:t>
      </w:r>
      <w:r w:rsidRPr="0034031C">
        <w:t xml:space="preserve"> A talajközeli kisugárzás miatt kialakuló stabil légrétegződés (inverzió) esetén a függőleges légtömeg-mozgások teljesen gátoltak, így a szaganyagok nem tudnak felfelé </w:t>
      </w:r>
      <w:proofErr w:type="spellStart"/>
      <w:r w:rsidRPr="0034031C">
        <w:t>diszpergálódni</w:t>
      </w:r>
      <w:proofErr w:type="spellEnd"/>
      <w:r w:rsidRPr="0034031C">
        <w:t xml:space="preserve"> a légkörben. A szagfáklya </w:t>
      </w:r>
      <w:proofErr w:type="spellStart"/>
      <w:r w:rsidRPr="0034031C">
        <w:t>talajközelben</w:t>
      </w:r>
      <w:proofErr w:type="spellEnd"/>
      <w:r w:rsidRPr="0034031C">
        <w:t xml:space="preserve"> marad, és </w:t>
      </w:r>
      <w:proofErr w:type="spellStart"/>
      <w:r w:rsidRPr="0034031C">
        <w:t>csőszerűen</w:t>
      </w:r>
      <w:proofErr w:type="spellEnd"/>
      <w:r w:rsidRPr="0034031C">
        <w:t xml:space="preserve">, fókuszáltan terjed szélirányban, amit a szoftveres diagram is egyértelműen szemléltet. Emiatt a kötelező </w:t>
      </w:r>
      <w:r w:rsidRPr="0034031C">
        <w:rPr>
          <w:b/>
          <w:bCs/>
        </w:rPr>
        <w:t>3,0 SZE/m³</w:t>
      </w:r>
      <w:r w:rsidRPr="0034031C">
        <w:t xml:space="preserve">-es határvonal távolsága majdnem </w:t>
      </w:r>
      <w:proofErr w:type="spellStart"/>
      <w:r w:rsidRPr="0034031C">
        <w:t>megháromszorozódik</w:t>
      </w:r>
      <w:proofErr w:type="spellEnd"/>
      <w:r w:rsidRPr="0034031C">
        <w:t xml:space="preserve">, és </w:t>
      </w:r>
      <w:r w:rsidRPr="0034031C">
        <w:rPr>
          <w:b/>
          <w:bCs/>
        </w:rPr>
        <w:t>324 méterig</w:t>
      </w:r>
      <w:r w:rsidRPr="0034031C">
        <w:t xml:space="preserve"> nyúlik ki a forráscentrumtól mérve. A szakértői értékelés kiemeli, hogy ez a távolság reprezentálja az üzem abszolút, elméleti maximális szaghatás-távolságát, amely kizárólag tartósan szélcsendes, tiszta, téli vagy éjszakai stabil légállapot esetén alakulhat ki.</w:t>
      </w:r>
    </w:p>
    <w:p w14:paraId="49D861F2" w14:textId="3140EFB9" w:rsidR="00722E7E" w:rsidRPr="00722E7E" w:rsidRDefault="00A34DB1" w:rsidP="00722E7E">
      <w:r w:rsidRPr="00A34DB1">
        <w:t xml:space="preserve">A felületi érdességi együtthatót a </w:t>
      </w:r>
      <w:proofErr w:type="spellStart"/>
      <w:r w:rsidRPr="00A34DB1">
        <w:t>telephelyet</w:t>
      </w:r>
      <w:proofErr w:type="spellEnd"/>
      <w:r w:rsidRPr="00A34DB1">
        <w:t xml:space="preserve"> övező valóságos tájkarakternek megfelelően </w:t>
      </w:r>
      <w:r w:rsidRPr="00A34DB1">
        <w:rPr>
          <w:b/>
          <w:bCs/>
        </w:rPr>
        <w:t>z</w:t>
      </w:r>
      <w:r w:rsidRPr="00722E7E">
        <w:rPr>
          <w:b/>
          <w:bCs/>
          <w:vertAlign w:val="subscript"/>
        </w:rPr>
        <w:t>0</w:t>
      </w:r>
      <w:r w:rsidRPr="00A34DB1">
        <w:rPr>
          <w:b/>
          <w:bCs/>
        </w:rPr>
        <w:t xml:space="preserve"> = 0,15 m</w:t>
      </w:r>
      <w:r w:rsidRPr="00A34DB1">
        <w:t xml:space="preserve"> értékre kalibráltuk, ami az </w:t>
      </w:r>
      <w:r w:rsidRPr="00A34DB1">
        <w:rPr>
          <w:b/>
          <w:bCs/>
        </w:rPr>
        <w:t>aktív mezőgazdasági területek</w:t>
      </w:r>
      <w:r w:rsidRPr="00A34DB1">
        <w:t xml:space="preserve"> (szántóföldek, alacsony növényzet) hivatalos fizikai osztálya</w:t>
      </w:r>
      <w:r w:rsidR="00722E7E">
        <w:t xml:space="preserve">. </w:t>
      </w:r>
      <w:r w:rsidR="00722E7E" w:rsidRPr="00722E7E">
        <w:t>Mérnök-áramlástani szempontból ez az alacsony érdességi érték azt jelenti, hogy a talajfelszín felett elhaladó 2,8 m/s-os szélmező nem ütközik jelentős morfológiai akadályokba (pl. magas fák, sűrű beépítettség), így a mechanikusan generált hígító légörvények száma csekélyebb. Ez a paraméter-beállítás a modellezés biztonsági tartalékát növeli (</w:t>
      </w:r>
      <w:r w:rsidR="00722E7E" w:rsidRPr="00722E7E">
        <w:rPr>
          <w:i/>
          <w:iCs/>
        </w:rPr>
        <w:t>konzervatív tervezés</w:t>
      </w:r>
      <w:r w:rsidR="00722E7E" w:rsidRPr="00722E7E">
        <w:t>): mivel a tározó és az istállók környezetében a tereptárgyak szagbontó turbulenciája minimális, a program a szagfáklyát hosszabb ideig tartja egyben, mint egy kistelepülési vagy erdős környezetben. A kapott 324 méteres (S=1) és 113 méteres</w:t>
      </w:r>
      <w:r w:rsidR="00722E7E">
        <w:t xml:space="preserve"> </w:t>
      </w:r>
      <w:r w:rsidR="00722E7E" w:rsidRPr="00722E7E">
        <w:t xml:space="preserve">(S=6) védőtávolságok tehát ezt a szigorított, gátolt talajmenti hígulást is </w:t>
      </w:r>
      <w:proofErr w:type="spellStart"/>
      <w:r w:rsidR="00722E7E" w:rsidRPr="00722E7E">
        <w:t>teljeskörűen</w:t>
      </w:r>
      <w:proofErr w:type="spellEnd"/>
      <w:r w:rsidR="00722E7E" w:rsidRPr="00722E7E">
        <w:t xml:space="preserve"> magukban foglalják és garantálják.</w:t>
      </w:r>
    </w:p>
    <w:p w14:paraId="7379ECBE" w14:textId="77777777" w:rsidR="00042C8E" w:rsidRPr="004E6EA5" w:rsidRDefault="00042C8E" w:rsidP="00042C8E">
      <w:r w:rsidRPr="004E6EA5">
        <w:t xml:space="preserve">A szoftveres futtatás bizonyítja, hogy normális légállapot (S=6) mellett a szag puszta elméleti észlelése (1,0 SZE/m³) is megáll meg </w:t>
      </w:r>
      <w:r w:rsidRPr="004E6EA5">
        <w:rPr>
          <w:b/>
          <w:bCs/>
        </w:rPr>
        <w:t>225 méteren</w:t>
      </w:r>
      <w:r w:rsidRPr="004E6EA5">
        <w:t xml:space="preserve"> belül. A legkedvezőtlenebb erős inverzió (S=1) esetén a tiszta észlelési zóna kinyúlik </w:t>
      </w:r>
      <w:r w:rsidRPr="004E6EA5">
        <w:rPr>
          <w:b/>
          <w:bCs/>
        </w:rPr>
        <w:t>776 méterig</w:t>
      </w:r>
      <w:r w:rsidRPr="004E6EA5">
        <w:t>, de ezen a ponton túl a telepi emisszió az emberi orr számára már elméletileg, pillanatnyi szagpamacsok szintjén sem választható el a természetes környezeti háttérillatoktól.</w:t>
      </w:r>
    </w:p>
    <w:p w14:paraId="0F832330" w14:textId="77777777" w:rsidR="00042C8E" w:rsidRDefault="00042C8E" w:rsidP="00042C8E">
      <w:r w:rsidRPr="00121DD8">
        <w:rPr>
          <w:b/>
          <w:bCs/>
        </w:rPr>
        <w:t>A lakott területek abszolút védelme:</w:t>
      </w:r>
      <w:r w:rsidRPr="00121DD8">
        <w:t xml:space="preserve"> Tiszaszőlős legközelebbi </w:t>
      </w:r>
      <w:r>
        <w:t>védendő építmények és területek</w:t>
      </w:r>
      <w:r w:rsidRPr="00121DD8">
        <w:t xml:space="preserve"> a tervezett sertéstelepi forráscentrumtól mérve </w:t>
      </w:r>
    </w:p>
    <w:p w14:paraId="34E9AD4C" w14:textId="77777777" w:rsidR="00042C8E" w:rsidRDefault="00042C8E">
      <w:pPr>
        <w:pStyle w:val="Listaszerbekezds"/>
        <w:numPr>
          <w:ilvl w:val="0"/>
          <w:numId w:val="20"/>
        </w:numPr>
      </w:pPr>
      <w:r w:rsidRPr="009D2F6E">
        <w:t>5244 Tiszaszőlős, külterület, 0230 hrsz.</w:t>
      </w:r>
      <w:r>
        <w:t xml:space="preserve"> (</w:t>
      </w:r>
      <w:r w:rsidRPr="009D2F6E">
        <w:t>Kte-1 – temető területe</w:t>
      </w:r>
      <w:r>
        <w:t>) 1071 méter</w:t>
      </w:r>
    </w:p>
    <w:p w14:paraId="03AA13AE" w14:textId="77777777" w:rsidR="00042C8E" w:rsidRDefault="00042C8E">
      <w:pPr>
        <w:pStyle w:val="Listaszerbekezds"/>
        <w:numPr>
          <w:ilvl w:val="0"/>
          <w:numId w:val="20"/>
        </w:numPr>
      </w:pPr>
      <w:r w:rsidRPr="009D2F6E">
        <w:t>5244 Tiszaszőlős, Sport u. 4., 596 hrsz.</w:t>
      </w:r>
      <w:r>
        <w:t xml:space="preserve"> (</w:t>
      </w:r>
      <w:r w:rsidRPr="009D2F6E">
        <w:t>Lf-1 – falusisas lakóterület</w:t>
      </w:r>
      <w:r>
        <w:t>) 1161 méter</w:t>
      </w:r>
    </w:p>
    <w:p w14:paraId="2EC1B03C" w14:textId="77777777" w:rsidR="00042C8E" w:rsidRDefault="00042C8E" w:rsidP="00042C8E">
      <w:r w:rsidRPr="00121DD8">
        <w:t>távolságra helyezked</w:t>
      </w:r>
      <w:r>
        <w:t>nek</w:t>
      </w:r>
      <w:r w:rsidRPr="00121DD8">
        <w:t xml:space="preserve"> el. Mivel a jogszabályi védőtávolság a legrosszabb esetben is mindössze </w:t>
      </w:r>
      <w:r w:rsidRPr="00121DD8">
        <w:rPr>
          <w:b/>
          <w:bCs/>
        </w:rPr>
        <w:t>324 m</w:t>
      </w:r>
      <w:r w:rsidRPr="00121DD8">
        <w:t xml:space="preserve">, a telep védőövezete teljes egészében a külterületi mezőgazdasági zónán belül marad. Ráadásul a </w:t>
      </w:r>
      <w:r>
        <w:t>H</w:t>
      </w:r>
      <w:r w:rsidRPr="00121DD8">
        <w:t xml:space="preserve">atóság által kért legszigorúbb </w:t>
      </w:r>
      <w:r w:rsidRPr="00121DD8">
        <w:rPr>
          <w:b/>
          <w:bCs/>
        </w:rPr>
        <w:t>1,0 SZE/m³</w:t>
      </w:r>
      <w:r w:rsidRPr="00121DD8">
        <w:t xml:space="preserve">-es észlelési zóna (776 m) is még a belterületi határ előtt </w:t>
      </w:r>
      <w:r>
        <w:t>teljesül</w:t>
      </w:r>
      <w:r w:rsidRPr="00121DD8">
        <w:t>.</w:t>
      </w:r>
    </w:p>
    <w:p w14:paraId="6C10B9A5" w14:textId="239858C0" w:rsidR="00042C8E" w:rsidRPr="00042C8E" w:rsidRDefault="00042C8E" w:rsidP="00042C8E">
      <w:r w:rsidRPr="00042C8E">
        <w:t xml:space="preserve">A 4/2011. VM rendelet szerinti 3,0 SZE/m³-es tervezési irányérték határa a legrosszabb esetben is megáll </w:t>
      </w:r>
      <w:r w:rsidRPr="00042C8E">
        <w:rPr>
          <w:b/>
          <w:bCs/>
        </w:rPr>
        <w:t>324 méteren</w:t>
      </w:r>
      <w:r w:rsidRPr="00042C8E">
        <w:t>. A lakott terület és a védőövezet határa között így:</w:t>
      </w:r>
    </w:p>
    <w:p w14:paraId="58AEF044" w14:textId="3D2AC435" w:rsidR="00042C8E" w:rsidRPr="00042C8E" w:rsidRDefault="00042C8E" w:rsidP="007364A3">
      <w:pPr>
        <w:jc w:val="center"/>
      </w:pPr>
      <w:r w:rsidRPr="00042C8E">
        <w:t xml:space="preserve">Biztonsági zóna = </w:t>
      </w:r>
      <w:r w:rsidR="007364A3">
        <w:t>1071</w:t>
      </w:r>
      <w:r w:rsidRPr="00042C8E">
        <w:t xml:space="preserve"> m </w:t>
      </w:r>
      <w:r w:rsidR="007364A3">
        <w:t>–</w:t>
      </w:r>
      <w:r w:rsidRPr="00042C8E">
        <w:t xml:space="preserve"> 324</w:t>
      </w:r>
      <w:r w:rsidR="007364A3">
        <w:t xml:space="preserve"> </w:t>
      </w:r>
      <w:r w:rsidRPr="00042C8E">
        <w:t xml:space="preserve">m = </w:t>
      </w:r>
      <w:r w:rsidR="007364A3">
        <w:t>747</w:t>
      </w:r>
      <w:r w:rsidRPr="00042C8E">
        <w:t xml:space="preserve"> méter</w:t>
      </w:r>
    </w:p>
    <w:p w14:paraId="0F60F45C" w14:textId="3C0D4700" w:rsidR="00A34DB1" w:rsidRPr="00A34DB1" w:rsidRDefault="007364A3" w:rsidP="00A34DB1">
      <w:r w:rsidRPr="007364A3">
        <w:t xml:space="preserve">abszolút, tiszta külterületi biztonsági pufferzóna marad fent, ami azt jelenti, hogy a telep a jogszabályi elvárásnál több mint kétszer nagyobb távolságra </w:t>
      </w:r>
      <w:r>
        <w:t>teljesül.</w:t>
      </w:r>
    </w:p>
    <w:p w14:paraId="396F2476" w14:textId="4D94C206" w:rsidR="005F7214" w:rsidRPr="00D8220C" w:rsidRDefault="00B07072" w:rsidP="00D8220C">
      <w:r w:rsidRPr="00B07072">
        <w:rPr>
          <w:b/>
          <w:bCs/>
        </w:rPr>
        <w:t>A modellezési adatok számszakilag és grafikusan is bizonyítják, hogy a sertéstelep és a hígtrágyatároló együttes üzemeltetése a környező lakosság körében semmilyen felismerhető bűzterhelést vagy zavaró szaghatást nem fog okozni, a beruházás levegőtisztaság-védelmi és szagvédelmi szempontból maradéktalanul teljesíti a hatályos magyar és uniós jogi normákat, így az IPPC engedély bűzvédelmi szempontból aggálymentesen kiadható</w:t>
      </w:r>
      <w:r>
        <w:rPr>
          <w:b/>
          <w:bCs/>
        </w:rPr>
        <w:t>.</w:t>
      </w:r>
    </w:p>
    <w:sectPr w:rsidR="005F7214" w:rsidRPr="00D8220C" w:rsidSect="008962EB">
      <w:footerReference w:type="default" r:id="rId18"/>
      <w:pgSz w:w="11906" w:h="16838" w:code="9"/>
      <w:pgMar w:top="1418" w:right="1418" w:bottom="1418" w:left="1418" w:header="709" w:footer="709"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298CE" w14:textId="77777777" w:rsidR="00C227B9" w:rsidRDefault="00C227B9">
      <w:r>
        <w:separator/>
      </w:r>
    </w:p>
  </w:endnote>
  <w:endnote w:type="continuationSeparator" w:id="0">
    <w:p w14:paraId="6ACD3E9D" w14:textId="77777777" w:rsidR="00C227B9" w:rsidRDefault="00C22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OpenSymbol, 'Arial Unicode M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tarSymbol">
    <w:altName w:val="MS Mincho"/>
    <w:charset w:val="02"/>
    <w:family w:val="auto"/>
    <w:pitch w:val="default"/>
  </w:font>
  <w:font w:name="Albany">
    <w:altName w:val="Arial"/>
    <w:charset w:val="00"/>
    <w:family w:val="swiss"/>
    <w:pitch w:val="variable"/>
  </w:font>
  <w:font w:name="HG Mincho Light J">
    <w:altName w:val="Times New Roman"/>
    <w:charset w:val="00"/>
    <w:family w:val="auto"/>
    <w:pitch w:val="variable"/>
  </w:font>
  <w:font w:name="Arial Unicode MS">
    <w:panose1 w:val="020B0604020202020204"/>
    <w:charset w:val="80"/>
    <w:family w:val="swiss"/>
    <w:pitch w:val="variable"/>
    <w:sig w:usb0="F7FFAEFF" w:usb1="F9DFFFFF" w:usb2="0000007F" w:usb3="00000000" w:csb0="003F01FF" w:csb1="00000000"/>
  </w:font>
  <w:font w:name="Times New Roman félkövér">
    <w:panose1 w:val="02020803070505020304"/>
    <w:charset w:val="00"/>
    <w:family w:val="roman"/>
    <w:notTrueType/>
    <w:pitch w:val="default"/>
    <w:sig w:usb0="00000003" w:usb1="00000000" w:usb2="00000000" w:usb3="00000000" w:csb0="00000001" w:csb1="00000000"/>
  </w:font>
  <w:font w:name="H-Times New Roman">
    <w:altName w:val="Times New Roman"/>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haroni">
    <w:charset w:val="B1"/>
    <w:family w:val="auto"/>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94535" w14:textId="77777777" w:rsidR="00B07ACF" w:rsidRDefault="00B07ACF" w:rsidP="00C97120">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14:paraId="6100B86D" w14:textId="77777777" w:rsidR="00B07ACF" w:rsidRDefault="00B07ACF" w:rsidP="00106C2B">
    <w:pPr>
      <w:pStyle w:val="ll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2FC3" w14:textId="77777777" w:rsidR="00B07ACF" w:rsidRDefault="00B07ACF" w:rsidP="00876C45">
    <w:pPr>
      <w:spacing w:after="0"/>
      <w:jc w:val="center"/>
      <w:rPr>
        <w:sz w:val="20"/>
      </w:rPr>
    </w:pPr>
  </w:p>
  <w:p w14:paraId="4D0727A0" w14:textId="77777777" w:rsidR="00B07ACF" w:rsidRPr="00876C45" w:rsidRDefault="00B07ACF" w:rsidP="00876C45">
    <w:pPr>
      <w:pBdr>
        <w:top w:val="single" w:sz="4" w:space="1" w:color="auto"/>
      </w:pBdr>
      <w:spacing w:after="0"/>
      <w:jc w:val="center"/>
      <w:rPr>
        <w:sz w:val="20"/>
      </w:rPr>
    </w:pPr>
  </w:p>
  <w:tbl>
    <w:tblPr>
      <w:tblW w:w="9183" w:type="dxa"/>
      <w:tblLook w:val="04A0" w:firstRow="1" w:lastRow="0" w:firstColumn="1" w:lastColumn="0" w:noHBand="0" w:noVBand="1"/>
    </w:tblPr>
    <w:tblGrid>
      <w:gridCol w:w="1020"/>
      <w:gridCol w:w="7143"/>
      <w:gridCol w:w="1020"/>
    </w:tblGrid>
    <w:tr w:rsidR="00B07ACF" w:rsidRPr="00A244E7" w14:paraId="114C6ABC" w14:textId="77777777" w:rsidTr="003E0771">
      <w:tc>
        <w:tcPr>
          <w:tcW w:w="1020" w:type="dxa"/>
        </w:tcPr>
        <w:p w14:paraId="26881286" w14:textId="77777777" w:rsidR="00B07ACF" w:rsidRPr="00876C45" w:rsidRDefault="00B07ACF" w:rsidP="00876C45">
          <w:pPr>
            <w:pStyle w:val="llb"/>
            <w:spacing w:before="60" w:after="0"/>
            <w:jc w:val="right"/>
            <w:rPr>
              <w:sz w:val="20"/>
              <w:szCs w:val="20"/>
            </w:rPr>
          </w:pPr>
        </w:p>
      </w:tc>
      <w:tc>
        <w:tcPr>
          <w:tcW w:w="7143" w:type="dxa"/>
        </w:tcPr>
        <w:p w14:paraId="4D3B59A6" w14:textId="1A382574" w:rsidR="00B07ACF" w:rsidRPr="00876C45" w:rsidRDefault="00B07ACF" w:rsidP="00876C45">
          <w:pPr>
            <w:pStyle w:val="llb"/>
            <w:tabs>
              <w:tab w:val="clear" w:pos="4536"/>
              <w:tab w:val="clear" w:pos="9072"/>
            </w:tabs>
            <w:spacing w:after="0"/>
            <w:jc w:val="center"/>
            <w:rPr>
              <w:rFonts w:eastAsia="SimSun" w:cs="Aharoni"/>
              <w:sz w:val="16"/>
              <w:szCs w:val="16"/>
            </w:rPr>
          </w:pPr>
          <w:r>
            <w:rPr>
              <w:rFonts w:eastAsia="SimSun" w:cs="Aharoni"/>
              <w:b/>
              <w:sz w:val="16"/>
              <w:szCs w:val="16"/>
            </w:rPr>
            <w:t>Fodor István egyéni vállalkozó</w:t>
          </w:r>
          <w:r w:rsidRPr="00876C45">
            <w:rPr>
              <w:rFonts w:eastAsia="SimSun" w:cs="Aharoni"/>
              <w:b/>
              <w:sz w:val="16"/>
              <w:szCs w:val="16"/>
            </w:rPr>
            <w:t xml:space="preserve">. </w:t>
          </w:r>
          <w:r>
            <w:rPr>
              <w:rFonts w:eastAsia="SimSun" w:cs="Aharoni"/>
              <w:sz w:val="16"/>
              <w:szCs w:val="16"/>
            </w:rPr>
            <w:t>–</w:t>
          </w:r>
          <w:r w:rsidRPr="00876C45">
            <w:rPr>
              <w:rFonts w:eastAsia="SimSun" w:cs="Aharoni"/>
              <w:sz w:val="16"/>
              <w:szCs w:val="16"/>
            </w:rPr>
            <w:t xml:space="preserve"> </w:t>
          </w:r>
          <w:r>
            <w:rPr>
              <w:rFonts w:eastAsia="SimSun" w:cs="Aharoni"/>
              <w:sz w:val="16"/>
              <w:szCs w:val="16"/>
            </w:rPr>
            <w:t>6080 Szabadszállás, Nefelejcs utca 4.</w:t>
          </w:r>
          <w:r w:rsidRPr="00876C45">
            <w:rPr>
              <w:rFonts w:eastAsia="SimSun" w:cs="Aharoni"/>
              <w:sz w:val="16"/>
              <w:szCs w:val="16"/>
            </w:rPr>
            <w:t xml:space="preserve"> </w:t>
          </w:r>
          <w:r>
            <w:rPr>
              <w:rFonts w:eastAsia="SimSun" w:cs="Aharoni"/>
              <w:sz w:val="16"/>
              <w:szCs w:val="16"/>
            </w:rPr>
            <w:t>–</w:t>
          </w:r>
          <w:r w:rsidRPr="00876C45">
            <w:rPr>
              <w:rFonts w:eastAsia="SimSun" w:cs="Aharoni"/>
              <w:sz w:val="16"/>
              <w:szCs w:val="16"/>
            </w:rPr>
            <w:t xml:space="preserve"> </w:t>
          </w:r>
          <w:r w:rsidR="003E0771">
            <w:rPr>
              <w:rFonts w:eastAsia="SimSun" w:cs="Aharoni"/>
              <w:sz w:val="16"/>
              <w:szCs w:val="16"/>
            </w:rPr>
            <w:t>kornyezetvedelmiterv</w:t>
          </w:r>
          <w:r>
            <w:rPr>
              <w:rFonts w:eastAsia="SimSun" w:cs="Aharoni"/>
              <w:sz w:val="16"/>
              <w:szCs w:val="16"/>
            </w:rPr>
            <w:t>@gmail.com</w:t>
          </w:r>
        </w:p>
        <w:p w14:paraId="78EB0D44" w14:textId="77777777" w:rsidR="00B07ACF" w:rsidRPr="00876C45" w:rsidRDefault="00B07ACF" w:rsidP="00876C45">
          <w:pPr>
            <w:pStyle w:val="llb"/>
            <w:spacing w:after="0"/>
            <w:jc w:val="center"/>
            <w:rPr>
              <w:sz w:val="20"/>
              <w:szCs w:val="20"/>
            </w:rPr>
          </w:pPr>
          <w:r>
            <w:rPr>
              <w:sz w:val="20"/>
              <w:szCs w:val="20"/>
            </w:rPr>
            <w:t>MUNKAVÉDELEM – TŰZVÉDELEM - KÖRNYEZETVÉDELEM</w:t>
          </w:r>
        </w:p>
      </w:tc>
      <w:tc>
        <w:tcPr>
          <w:tcW w:w="1020" w:type="dxa"/>
        </w:tcPr>
        <w:p w14:paraId="6C68F358" w14:textId="77777777" w:rsidR="00B07ACF" w:rsidRPr="00A244E7" w:rsidRDefault="00B07ACF" w:rsidP="004B18CE">
          <w:pPr>
            <w:pStyle w:val="llb"/>
            <w:spacing w:after="0"/>
            <w:jc w:val="right"/>
            <w:rPr>
              <w:sz w:val="16"/>
              <w:szCs w:val="20"/>
            </w:rPr>
          </w:pPr>
          <w:r w:rsidRPr="00A244E7">
            <w:rPr>
              <w:b/>
              <w:sz w:val="16"/>
              <w:szCs w:val="20"/>
            </w:rPr>
            <w:fldChar w:fldCharType="begin"/>
          </w:r>
          <w:r w:rsidRPr="00A244E7">
            <w:rPr>
              <w:b/>
              <w:sz w:val="16"/>
              <w:szCs w:val="20"/>
            </w:rPr>
            <w:instrText>PAGE  \* Arabic  \* MERGEFORMAT</w:instrText>
          </w:r>
          <w:r w:rsidRPr="00A244E7">
            <w:rPr>
              <w:b/>
              <w:sz w:val="16"/>
              <w:szCs w:val="20"/>
            </w:rPr>
            <w:fldChar w:fldCharType="separate"/>
          </w:r>
          <w:r w:rsidR="0003368C" w:rsidRPr="0003368C">
            <w:rPr>
              <w:noProof/>
              <w:sz w:val="16"/>
              <w:szCs w:val="20"/>
            </w:rPr>
            <w:t>2</w:t>
          </w:r>
          <w:r w:rsidRPr="00A244E7">
            <w:rPr>
              <w:b/>
              <w:sz w:val="16"/>
              <w:szCs w:val="20"/>
            </w:rPr>
            <w:fldChar w:fldCharType="end"/>
          </w:r>
          <w:r w:rsidRPr="00A244E7">
            <w:rPr>
              <w:sz w:val="16"/>
              <w:szCs w:val="20"/>
            </w:rPr>
            <w:t xml:space="preserve"> / </w:t>
          </w:r>
          <w:r w:rsidRPr="00A244E7">
            <w:rPr>
              <w:b/>
              <w:sz w:val="16"/>
              <w:szCs w:val="20"/>
            </w:rPr>
            <w:fldChar w:fldCharType="begin"/>
          </w:r>
          <w:r w:rsidRPr="00A244E7">
            <w:rPr>
              <w:b/>
              <w:sz w:val="16"/>
              <w:szCs w:val="20"/>
            </w:rPr>
            <w:instrText>NUMPAGES  \* Arabic  \* MERGEFORMAT</w:instrText>
          </w:r>
          <w:r w:rsidRPr="00A244E7">
            <w:rPr>
              <w:b/>
              <w:sz w:val="16"/>
              <w:szCs w:val="20"/>
            </w:rPr>
            <w:fldChar w:fldCharType="separate"/>
          </w:r>
          <w:r w:rsidR="0003368C" w:rsidRPr="0003368C">
            <w:rPr>
              <w:noProof/>
              <w:sz w:val="16"/>
              <w:szCs w:val="20"/>
            </w:rPr>
            <w:t>59</w:t>
          </w:r>
          <w:r w:rsidRPr="00A244E7">
            <w:rPr>
              <w:b/>
              <w:sz w:val="16"/>
              <w:szCs w:val="20"/>
            </w:rPr>
            <w:fldChar w:fldCharType="end"/>
          </w:r>
        </w:p>
      </w:tc>
    </w:tr>
  </w:tbl>
  <w:p w14:paraId="3BA77A33" w14:textId="77777777" w:rsidR="00B07ACF" w:rsidRPr="0042657D" w:rsidRDefault="00B07ACF" w:rsidP="00876C45">
    <w:pPr>
      <w:pStyle w:val="llb"/>
      <w:spacing w:after="0"/>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Fekvtblzat"/>
      <w:tblW w:w="0" w:type="auto"/>
      <w:tblLayout w:type="fixed"/>
      <w:tblLook w:val="04A0" w:firstRow="1" w:lastRow="0" w:firstColumn="1" w:lastColumn="0" w:noHBand="0" w:noVBand="1"/>
    </w:tblPr>
    <w:tblGrid>
      <w:gridCol w:w="3402"/>
      <w:gridCol w:w="2415"/>
      <w:gridCol w:w="3402"/>
    </w:tblGrid>
    <w:tr w:rsidR="00B07ACF" w:rsidRPr="00D42B8C" w14:paraId="1B662210" w14:textId="77777777" w:rsidTr="00CF15CE">
      <w:trPr>
        <w:cnfStyle w:val="100000000000" w:firstRow="1" w:lastRow="0" w:firstColumn="0" w:lastColumn="0" w:oddVBand="0" w:evenVBand="0" w:oddHBand="0" w:evenHBand="0" w:firstRowFirstColumn="0" w:firstRowLastColumn="0" w:lastRowFirstColumn="0" w:lastRowLastColumn="0"/>
      </w:trPr>
      <w:tc>
        <w:tcPr>
          <w:tcW w:w="3402" w:type="dxa"/>
        </w:tcPr>
        <w:p w14:paraId="48E40DCA" w14:textId="77777777" w:rsidR="00B07ACF" w:rsidRPr="00D42B8C" w:rsidRDefault="00B07ACF" w:rsidP="0015742A">
          <w:pPr>
            <w:spacing w:before="60" w:after="60"/>
            <w:jc w:val="center"/>
            <w:rPr>
              <w:i/>
              <w:szCs w:val="32"/>
            </w:rPr>
          </w:pPr>
          <w:r w:rsidRPr="00D42B8C">
            <w:rPr>
              <w:i/>
              <w:szCs w:val="32"/>
            </w:rPr>
            <w:t>Dokumentum készítője:</w:t>
          </w:r>
        </w:p>
      </w:tc>
      <w:tc>
        <w:tcPr>
          <w:tcW w:w="2415" w:type="dxa"/>
        </w:tcPr>
        <w:p w14:paraId="6FF1D48C" w14:textId="77777777" w:rsidR="00B07ACF" w:rsidRPr="00D42B8C" w:rsidRDefault="00B07ACF" w:rsidP="0015742A">
          <w:pPr>
            <w:spacing w:before="60" w:after="60"/>
            <w:jc w:val="center"/>
            <w:rPr>
              <w:i/>
              <w:szCs w:val="32"/>
            </w:rPr>
          </w:pPr>
          <w:r w:rsidRPr="00D42B8C">
            <w:rPr>
              <w:i/>
              <w:szCs w:val="32"/>
            </w:rPr>
            <w:t>Készítés dátuma:</w:t>
          </w:r>
        </w:p>
      </w:tc>
      <w:tc>
        <w:tcPr>
          <w:tcW w:w="3402" w:type="dxa"/>
        </w:tcPr>
        <w:p w14:paraId="2B73FAB8" w14:textId="77777777" w:rsidR="00B07ACF" w:rsidRPr="00D42B8C" w:rsidRDefault="00B07ACF" w:rsidP="0015742A">
          <w:pPr>
            <w:spacing w:before="60" w:after="60"/>
            <w:jc w:val="center"/>
            <w:rPr>
              <w:i/>
              <w:szCs w:val="32"/>
            </w:rPr>
          </w:pPr>
          <w:r w:rsidRPr="00D42B8C">
            <w:rPr>
              <w:i/>
              <w:szCs w:val="32"/>
            </w:rPr>
            <w:t>Dokumentum azonosítója:</w:t>
          </w:r>
        </w:p>
      </w:tc>
    </w:tr>
    <w:tr w:rsidR="00B07ACF" w14:paraId="0A5FEA8C" w14:textId="77777777" w:rsidTr="00CF15CE">
      <w:tc>
        <w:tcPr>
          <w:tcW w:w="3402" w:type="dxa"/>
        </w:tcPr>
        <w:p w14:paraId="50541ED6" w14:textId="77777777" w:rsidR="00857033" w:rsidRPr="00D42B8C" w:rsidRDefault="00857033" w:rsidP="00857033">
          <w:pPr>
            <w:spacing w:before="120" w:after="0"/>
            <w:jc w:val="left"/>
            <w:rPr>
              <w:b/>
              <w:szCs w:val="32"/>
            </w:rPr>
          </w:pPr>
          <w:r w:rsidRPr="00E7749B">
            <w:rPr>
              <w:b/>
              <w:szCs w:val="32"/>
            </w:rPr>
            <w:t>Safety For All Kft.</w:t>
          </w:r>
        </w:p>
        <w:p w14:paraId="462FE3DD" w14:textId="77777777" w:rsidR="00857033" w:rsidRDefault="00857033" w:rsidP="00857033">
          <w:pPr>
            <w:spacing w:after="0"/>
            <w:jc w:val="left"/>
            <w:rPr>
              <w:szCs w:val="32"/>
            </w:rPr>
          </w:pPr>
          <w:r w:rsidRPr="00E7749B">
            <w:rPr>
              <w:szCs w:val="32"/>
            </w:rPr>
            <w:t>2100 Gödöllő, Szent János utca 12. A. lház. 4. em. 12. ajtó</w:t>
          </w:r>
        </w:p>
        <w:p w14:paraId="3645733F" w14:textId="77777777" w:rsidR="00857033" w:rsidRDefault="00857033" w:rsidP="00857033">
          <w:pPr>
            <w:spacing w:after="0"/>
            <w:jc w:val="left"/>
            <w:rPr>
              <w:szCs w:val="32"/>
            </w:rPr>
          </w:pPr>
          <w:r>
            <w:rPr>
              <w:szCs w:val="32"/>
            </w:rPr>
            <w:t>kornyezetvedelmiterv@gmail.com</w:t>
          </w:r>
        </w:p>
        <w:p w14:paraId="536485C3" w14:textId="21630930" w:rsidR="00B07ACF" w:rsidRDefault="00857033" w:rsidP="00857033">
          <w:pPr>
            <w:jc w:val="left"/>
            <w:rPr>
              <w:szCs w:val="32"/>
            </w:rPr>
          </w:pPr>
          <w:r>
            <w:rPr>
              <w:szCs w:val="32"/>
            </w:rPr>
            <w:t>+36 (30) 3829849</w:t>
          </w:r>
        </w:p>
      </w:tc>
      <w:sdt>
        <w:sdtPr>
          <w:rPr>
            <w:szCs w:val="32"/>
          </w:rPr>
          <w:id w:val="-834154001"/>
          <w:placeholder>
            <w:docPart w:val="48B7B219E7FE45929428FF60E12F2CF5"/>
          </w:placeholder>
          <w:date w:fullDate="2026-05-22T00:00:00Z">
            <w:dateFormat w:val="yyyy. MMMM d."/>
            <w:lid w:val="hu-HU"/>
            <w:storeMappedDataAs w:val="dateTime"/>
            <w:calendar w:val="gregorian"/>
          </w:date>
        </w:sdtPr>
        <w:sdtContent>
          <w:tc>
            <w:tcPr>
              <w:tcW w:w="2415" w:type="dxa"/>
            </w:tcPr>
            <w:p w14:paraId="526C6A7F" w14:textId="76988D03" w:rsidR="00B07ACF" w:rsidRDefault="0039160B" w:rsidP="00EE2B46">
              <w:pPr>
                <w:spacing w:after="0"/>
                <w:jc w:val="center"/>
                <w:rPr>
                  <w:szCs w:val="32"/>
                </w:rPr>
              </w:pPr>
              <w:r>
                <w:rPr>
                  <w:szCs w:val="32"/>
                </w:rPr>
                <w:t>2026. május 22.</w:t>
              </w:r>
            </w:p>
          </w:tc>
        </w:sdtContent>
      </w:sdt>
      <w:tc>
        <w:tcPr>
          <w:tcW w:w="3402" w:type="dxa"/>
        </w:tcPr>
        <w:p w14:paraId="243E701E" w14:textId="079DD538" w:rsidR="00B07ACF" w:rsidRDefault="00857033" w:rsidP="00EE2B46">
          <w:pPr>
            <w:spacing w:after="0"/>
            <w:jc w:val="center"/>
            <w:rPr>
              <w:szCs w:val="32"/>
            </w:rPr>
          </w:pPr>
          <w:r>
            <w:rPr>
              <w:szCs w:val="32"/>
            </w:rPr>
            <w:t>S4A</w:t>
          </w:r>
          <w:r w:rsidR="003F4D4D">
            <w:rPr>
              <w:szCs w:val="32"/>
            </w:rPr>
            <w:t>/</w:t>
          </w:r>
          <w:sdt>
            <w:sdtPr>
              <w:rPr>
                <w:szCs w:val="32"/>
              </w:rPr>
              <w:alias w:val="Év"/>
              <w:tag w:val="Év"/>
              <w:id w:val="402493271"/>
              <w:text/>
            </w:sdtPr>
            <w:sdtContent>
              <w:r w:rsidR="00B96228">
                <w:rPr>
                  <w:szCs w:val="32"/>
                </w:rPr>
                <w:t>202</w:t>
              </w:r>
              <w:r w:rsidR="0039160B">
                <w:rPr>
                  <w:szCs w:val="32"/>
                </w:rPr>
                <w:t>6052</w:t>
              </w:r>
              <w:r w:rsidR="0002678A">
                <w:rPr>
                  <w:szCs w:val="32"/>
                </w:rPr>
                <w:t>2</w:t>
              </w:r>
            </w:sdtContent>
          </w:sdt>
          <w:r w:rsidR="00B07ACF">
            <w:rPr>
              <w:szCs w:val="32"/>
            </w:rPr>
            <w:t>/</w:t>
          </w:r>
          <w:sdt>
            <w:sdtPr>
              <w:rPr>
                <w:szCs w:val="32"/>
              </w:rPr>
              <w:alias w:val="Munkaszám"/>
              <w:tag w:val="Munkaszám"/>
              <w:id w:val="1766104252"/>
              <w:text/>
            </w:sdtPr>
            <w:sdtContent>
              <w:r w:rsidR="00B96228">
                <w:rPr>
                  <w:szCs w:val="32"/>
                </w:rPr>
                <w:t>0</w:t>
              </w:r>
              <w:r w:rsidR="001800D5">
                <w:rPr>
                  <w:szCs w:val="32"/>
                </w:rPr>
                <w:t>5</w:t>
              </w:r>
            </w:sdtContent>
          </w:sdt>
        </w:p>
      </w:tc>
    </w:tr>
  </w:tbl>
  <w:p w14:paraId="1CB5A074" w14:textId="77777777" w:rsidR="00B07ACF" w:rsidRDefault="00B07ACF">
    <w:pPr>
      <w:pStyle w:val="ll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A4E2F" w14:textId="77777777" w:rsidR="00D91898" w:rsidRDefault="00D91898" w:rsidP="00D91898">
    <w:pPr>
      <w:spacing w:after="0"/>
      <w:jc w:val="center"/>
      <w:rPr>
        <w:sz w:val="20"/>
      </w:rPr>
    </w:pPr>
  </w:p>
  <w:p w14:paraId="15964269" w14:textId="77777777" w:rsidR="00D91898" w:rsidRPr="00876C45" w:rsidRDefault="00D91898" w:rsidP="00D91898">
    <w:pPr>
      <w:pBdr>
        <w:top w:val="single" w:sz="4" w:space="1" w:color="auto"/>
      </w:pBdr>
      <w:spacing w:after="0"/>
      <w:jc w:val="center"/>
      <w:rPr>
        <w:sz w:val="20"/>
      </w:rPr>
    </w:pPr>
  </w:p>
  <w:tbl>
    <w:tblPr>
      <w:tblW w:w="9184" w:type="dxa"/>
      <w:jc w:val="center"/>
      <w:tblLook w:val="04A0" w:firstRow="1" w:lastRow="0" w:firstColumn="1" w:lastColumn="0" w:noHBand="0" w:noVBand="1"/>
    </w:tblPr>
    <w:tblGrid>
      <w:gridCol w:w="737"/>
      <w:gridCol w:w="7710"/>
      <w:gridCol w:w="737"/>
    </w:tblGrid>
    <w:tr w:rsidR="00D91898" w:rsidRPr="00A244E7" w14:paraId="69B27A5B" w14:textId="77777777" w:rsidTr="00A459CB">
      <w:trPr>
        <w:jc w:val="center"/>
      </w:trPr>
      <w:tc>
        <w:tcPr>
          <w:tcW w:w="737" w:type="dxa"/>
        </w:tcPr>
        <w:p w14:paraId="407E67BF" w14:textId="77777777" w:rsidR="00D91898" w:rsidRPr="00876C45" w:rsidRDefault="00D91898" w:rsidP="00D91898">
          <w:pPr>
            <w:pStyle w:val="llb"/>
            <w:spacing w:before="60" w:after="0"/>
            <w:jc w:val="right"/>
            <w:rPr>
              <w:sz w:val="20"/>
              <w:szCs w:val="20"/>
            </w:rPr>
          </w:pPr>
        </w:p>
      </w:tc>
      <w:tc>
        <w:tcPr>
          <w:tcW w:w="7710" w:type="dxa"/>
        </w:tcPr>
        <w:p w14:paraId="4C5EEDAB" w14:textId="77777777" w:rsidR="00D91898" w:rsidRPr="00876C45" w:rsidRDefault="00D91898" w:rsidP="00D91898">
          <w:pPr>
            <w:pStyle w:val="llb"/>
            <w:tabs>
              <w:tab w:val="clear" w:pos="4536"/>
              <w:tab w:val="clear" w:pos="9072"/>
            </w:tabs>
            <w:spacing w:after="0"/>
            <w:jc w:val="center"/>
            <w:rPr>
              <w:rFonts w:eastAsia="SimSun" w:cs="Aharoni"/>
              <w:sz w:val="16"/>
              <w:szCs w:val="16"/>
            </w:rPr>
          </w:pPr>
          <w:r w:rsidRPr="000E2F6C">
            <w:rPr>
              <w:rFonts w:eastAsia="SimSun" w:cs="Aharoni"/>
              <w:b/>
              <w:sz w:val="16"/>
              <w:szCs w:val="16"/>
            </w:rPr>
            <w:t>Safety For All Kft.</w:t>
          </w:r>
          <w:r>
            <w:rPr>
              <w:rFonts w:eastAsia="SimSun" w:cs="Aharoni"/>
              <w:b/>
              <w:sz w:val="16"/>
              <w:szCs w:val="16"/>
            </w:rPr>
            <w:t xml:space="preserve"> </w:t>
          </w:r>
          <w:r>
            <w:rPr>
              <w:rFonts w:eastAsia="SimSun" w:cs="Aharoni"/>
              <w:sz w:val="16"/>
              <w:szCs w:val="16"/>
            </w:rPr>
            <w:t>–</w:t>
          </w:r>
          <w:r w:rsidRPr="00876C45">
            <w:rPr>
              <w:rFonts w:eastAsia="SimSun" w:cs="Aharoni"/>
              <w:sz w:val="16"/>
              <w:szCs w:val="16"/>
            </w:rPr>
            <w:t xml:space="preserve"> </w:t>
          </w:r>
          <w:r>
            <w:rPr>
              <w:rFonts w:eastAsia="SimSun" w:cs="Aharoni"/>
              <w:sz w:val="16"/>
              <w:szCs w:val="16"/>
            </w:rPr>
            <w:t>kornyezetvedelmiterv@gmail.com</w:t>
          </w:r>
        </w:p>
        <w:p w14:paraId="70D08672" w14:textId="77777777" w:rsidR="00D91898" w:rsidRPr="00876C45" w:rsidRDefault="00D91898" w:rsidP="00D91898">
          <w:pPr>
            <w:pStyle w:val="llb"/>
            <w:spacing w:after="0"/>
            <w:jc w:val="center"/>
            <w:rPr>
              <w:sz w:val="20"/>
              <w:szCs w:val="20"/>
            </w:rPr>
          </w:pPr>
          <w:r>
            <w:rPr>
              <w:sz w:val="20"/>
              <w:szCs w:val="20"/>
            </w:rPr>
            <w:t>MUNKAVÉDELEM – TŰZVÉDELEM – KÖRNYEZETVÉDELEM – KLÍMAVÉDELEM</w:t>
          </w:r>
        </w:p>
      </w:tc>
      <w:tc>
        <w:tcPr>
          <w:tcW w:w="737" w:type="dxa"/>
        </w:tcPr>
        <w:p w14:paraId="0AC2AEA4" w14:textId="77777777" w:rsidR="00D91898" w:rsidRPr="00A244E7" w:rsidRDefault="00D91898" w:rsidP="00D91898">
          <w:pPr>
            <w:pStyle w:val="llb"/>
            <w:spacing w:after="0"/>
            <w:jc w:val="right"/>
            <w:rPr>
              <w:sz w:val="16"/>
              <w:szCs w:val="20"/>
            </w:rPr>
          </w:pPr>
          <w:r w:rsidRPr="00A244E7">
            <w:rPr>
              <w:b/>
              <w:sz w:val="16"/>
              <w:szCs w:val="20"/>
            </w:rPr>
            <w:fldChar w:fldCharType="begin"/>
          </w:r>
          <w:r w:rsidRPr="00A244E7">
            <w:rPr>
              <w:b/>
              <w:sz w:val="16"/>
              <w:szCs w:val="20"/>
            </w:rPr>
            <w:instrText>PAGE  \* Arabic  \* MERGEFORMAT</w:instrText>
          </w:r>
          <w:r w:rsidRPr="00A244E7">
            <w:rPr>
              <w:b/>
              <w:sz w:val="16"/>
              <w:szCs w:val="20"/>
            </w:rPr>
            <w:fldChar w:fldCharType="separate"/>
          </w:r>
          <w:r>
            <w:rPr>
              <w:b/>
              <w:sz w:val="16"/>
              <w:szCs w:val="20"/>
            </w:rPr>
            <w:t>2</w:t>
          </w:r>
          <w:r w:rsidRPr="00A244E7">
            <w:rPr>
              <w:b/>
              <w:sz w:val="16"/>
              <w:szCs w:val="20"/>
            </w:rPr>
            <w:fldChar w:fldCharType="end"/>
          </w:r>
          <w:r w:rsidRPr="00A244E7">
            <w:rPr>
              <w:sz w:val="16"/>
              <w:szCs w:val="20"/>
            </w:rPr>
            <w:t xml:space="preserve"> / </w:t>
          </w:r>
          <w:r w:rsidRPr="00A244E7">
            <w:rPr>
              <w:b/>
              <w:sz w:val="16"/>
              <w:szCs w:val="20"/>
            </w:rPr>
            <w:fldChar w:fldCharType="begin"/>
          </w:r>
          <w:r w:rsidRPr="00A244E7">
            <w:rPr>
              <w:b/>
              <w:sz w:val="16"/>
              <w:szCs w:val="20"/>
            </w:rPr>
            <w:instrText>NUMPAGES  \* Arabic  \* MERGEFORMAT</w:instrText>
          </w:r>
          <w:r w:rsidRPr="00A244E7">
            <w:rPr>
              <w:b/>
              <w:sz w:val="16"/>
              <w:szCs w:val="20"/>
            </w:rPr>
            <w:fldChar w:fldCharType="separate"/>
          </w:r>
          <w:r>
            <w:rPr>
              <w:b/>
              <w:sz w:val="16"/>
              <w:szCs w:val="20"/>
            </w:rPr>
            <w:t>59</w:t>
          </w:r>
          <w:r w:rsidRPr="00A244E7">
            <w:rPr>
              <w:b/>
              <w:sz w:val="16"/>
              <w:szCs w:val="20"/>
            </w:rPr>
            <w:fldChar w:fldCharType="end"/>
          </w:r>
        </w:p>
      </w:tc>
    </w:tr>
  </w:tbl>
  <w:p w14:paraId="7F0CD869" w14:textId="77777777" w:rsidR="00D91898" w:rsidRPr="0042657D" w:rsidRDefault="00D91898" w:rsidP="00D91898">
    <w:pPr>
      <w:pStyle w:val="llb"/>
      <w:spacing w:after="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1AADE6" w14:textId="77777777" w:rsidR="00C227B9" w:rsidRDefault="00C227B9">
      <w:r>
        <w:separator/>
      </w:r>
    </w:p>
  </w:footnote>
  <w:footnote w:type="continuationSeparator" w:id="0">
    <w:p w14:paraId="75D8DD1A" w14:textId="77777777" w:rsidR="00C227B9" w:rsidRDefault="00C227B9">
      <w:r>
        <w:continuationSeparator/>
      </w:r>
    </w:p>
  </w:footnote>
  <w:footnote w:id="1">
    <w:p w14:paraId="15D4EAAB" w14:textId="232E84E3" w:rsidR="00E977F6" w:rsidRDefault="00E977F6">
      <w:pPr>
        <w:pStyle w:val="Lbjegyzetszveg"/>
      </w:pPr>
      <w:r>
        <w:rPr>
          <w:rStyle w:val="Lbjegyzet-hivatkozs"/>
        </w:rPr>
        <w:footnoteRef/>
      </w:r>
      <w:r>
        <w:t xml:space="preserve"> </w:t>
      </w:r>
      <w:r w:rsidRPr="00E977F6">
        <w:rPr>
          <w:b/>
          <w:bCs/>
        </w:rPr>
        <w:t>Kapuvári Orsolya Margit (2013):</w:t>
      </w:r>
      <w:r w:rsidRPr="00E977F6">
        <w:t xml:space="preserve"> </w:t>
      </w:r>
      <w:r w:rsidRPr="00E977F6">
        <w:rPr>
          <w:i/>
          <w:iCs/>
        </w:rPr>
        <w:t>A sertéstelepi szennyvizek, hígtrágyák tisztításának vizsgálata.</w:t>
      </w:r>
      <w:r w:rsidRPr="00E977F6">
        <w:t xml:space="preserve"> Szakdolgozat, Miskolci Egyetem Műszaki Földtudományi Kar, Nyersanyagelőkészítési és Környezeti Eljárástechnikai Intézet (Konzulens: Dr. Takács János docens; </w:t>
      </w:r>
      <w:proofErr w:type="spellStart"/>
      <w:r w:rsidRPr="00E977F6">
        <w:t>Vasváry</w:t>
      </w:r>
      <w:proofErr w:type="spellEnd"/>
      <w:r w:rsidRPr="00E977F6">
        <w:t xml:space="preserve"> Károly, NCH-Hungary Kft.)</w:t>
      </w:r>
    </w:p>
  </w:footnote>
  <w:footnote w:id="2">
    <w:p w14:paraId="49829A10" w14:textId="6F944039" w:rsidR="000C5F94" w:rsidRDefault="000C5F94">
      <w:pPr>
        <w:pStyle w:val="Lbjegyzetszveg"/>
      </w:pPr>
      <w:r>
        <w:rPr>
          <w:rStyle w:val="Lbjegyzet-hivatkozs"/>
        </w:rPr>
        <w:footnoteRef/>
      </w:r>
      <w:r>
        <w:t xml:space="preserve"> </w:t>
      </w:r>
      <w:r w:rsidRPr="000C5F94">
        <w:t xml:space="preserve">Dr. Ágoston Csaba – Dr. Béres András, KVI-PLUSZ Kft.: </w:t>
      </w:r>
      <w:r w:rsidRPr="000C5F94">
        <w:rPr>
          <w:i/>
          <w:iCs/>
        </w:rPr>
        <w:t>A zavaró szaghatás problémája és mérési módszerei intenzív mezőgazdasági források környezetében</w:t>
      </w:r>
      <w:r w:rsidRPr="000C5F94">
        <w:t>, Nemzeti Fejlesztési Terv Jedlik Ányos Program kutatási háttéranyag, Budapest, 2008, 45. oldal</w:t>
      </w:r>
    </w:p>
  </w:footnote>
  <w:footnote w:id="3">
    <w:p w14:paraId="3E90B7C9" w14:textId="6725032D" w:rsidR="009105B8" w:rsidRDefault="009105B8">
      <w:pPr>
        <w:pStyle w:val="Lbjegyzetszveg"/>
      </w:pPr>
      <w:r>
        <w:rPr>
          <w:rStyle w:val="Lbjegyzet-hivatkozs"/>
        </w:rPr>
        <w:footnoteRef/>
      </w:r>
      <w:r>
        <w:t xml:space="preserve"> </w:t>
      </w:r>
      <w:r w:rsidRPr="000C5F94">
        <w:t xml:space="preserve">NCH Europe: </w:t>
      </w:r>
      <w:proofErr w:type="spellStart"/>
      <w:r w:rsidRPr="000C5F94">
        <w:rPr>
          <w:i/>
          <w:iCs/>
        </w:rPr>
        <w:t>FreeFlow</w:t>
      </w:r>
      <w:proofErr w:type="spellEnd"/>
      <w:r w:rsidRPr="000C5F94">
        <w:rPr>
          <w:i/>
          <w:iCs/>
        </w:rPr>
        <w:t xml:space="preserve">™ </w:t>
      </w:r>
      <w:proofErr w:type="spellStart"/>
      <w:r w:rsidRPr="000C5F94">
        <w:rPr>
          <w:i/>
          <w:iCs/>
        </w:rPr>
        <w:t>Extreme</w:t>
      </w:r>
      <w:proofErr w:type="spellEnd"/>
      <w:r w:rsidRPr="000C5F94">
        <w:rPr>
          <w:i/>
          <w:iCs/>
        </w:rPr>
        <w:t xml:space="preserve"> hígtrágyakezelő mikrobiológiai formula hatóanyag-specifikációja</w:t>
      </w:r>
      <w:r w:rsidRPr="000C5F94">
        <w:t xml:space="preserve">, NCH Europe, </w:t>
      </w:r>
      <w:proofErr w:type="spellStart"/>
      <w:r w:rsidRPr="000C5F94">
        <w:t>Wolverhampton</w:t>
      </w:r>
      <w:proofErr w:type="spellEnd"/>
      <w:r w:rsidRPr="000C5F94">
        <w:t>, 201</w:t>
      </w:r>
    </w:p>
  </w:footnote>
  <w:footnote w:id="4">
    <w:p w14:paraId="576FEFC7" w14:textId="5544FEC9" w:rsidR="00CE4FE8" w:rsidRDefault="00CE4FE8">
      <w:pPr>
        <w:pStyle w:val="Lbjegyzetszveg"/>
      </w:pPr>
      <w:r>
        <w:rPr>
          <w:rStyle w:val="Lbjegyzet-hivatkozs"/>
        </w:rPr>
        <w:footnoteRef/>
      </w:r>
      <w:r>
        <w:t xml:space="preserve"> </w:t>
      </w:r>
      <w:r w:rsidRPr="000C5F94">
        <w:t xml:space="preserve">Kapuvári Orsolya Margit: </w:t>
      </w:r>
      <w:r w:rsidRPr="000C5F94">
        <w:rPr>
          <w:i/>
          <w:iCs/>
        </w:rPr>
        <w:t>A sertéstelepi szennyvizek, hígtrágyák tisztításának vizsgálata</w:t>
      </w:r>
      <w:r w:rsidRPr="000C5F94">
        <w:t>, Szakdolgozat, Miskolci Egyetem Műszaki Földtudományi Kar, Nyersanyagelőkészítési és Környezeti Eljárástechnikai Intézet, Miskolc, 2013</w:t>
      </w:r>
    </w:p>
  </w:footnote>
  <w:footnote w:id="5">
    <w:p w14:paraId="007C2AB6" w14:textId="537D4DD8" w:rsidR="008D421A" w:rsidRDefault="008D421A">
      <w:pPr>
        <w:pStyle w:val="Lbjegyzetszveg"/>
      </w:pPr>
      <w:r>
        <w:rPr>
          <w:rStyle w:val="Lbjegyzet-hivatkozs"/>
        </w:rPr>
        <w:footnoteRef/>
      </w:r>
      <w:r>
        <w:t xml:space="preserve"> </w:t>
      </w:r>
      <w:r w:rsidRPr="000C5F94">
        <w:t xml:space="preserve">European </w:t>
      </w:r>
      <w:proofErr w:type="spellStart"/>
      <w:r w:rsidRPr="000C5F94">
        <w:t>Commission</w:t>
      </w:r>
      <w:proofErr w:type="spellEnd"/>
      <w:r w:rsidRPr="000C5F94">
        <w:t xml:space="preserve">: </w:t>
      </w:r>
      <w:r w:rsidRPr="000C5F94">
        <w:rPr>
          <w:i/>
          <w:iCs/>
        </w:rPr>
        <w:t xml:space="preserve">Best </w:t>
      </w:r>
      <w:proofErr w:type="spellStart"/>
      <w:r w:rsidRPr="000C5F94">
        <w:rPr>
          <w:i/>
          <w:iCs/>
        </w:rPr>
        <w:t>Available</w:t>
      </w:r>
      <w:proofErr w:type="spellEnd"/>
      <w:r w:rsidRPr="000C5F94">
        <w:rPr>
          <w:i/>
          <w:iCs/>
        </w:rPr>
        <w:t xml:space="preserve"> </w:t>
      </w:r>
      <w:proofErr w:type="spellStart"/>
      <w:r w:rsidRPr="000C5F94">
        <w:rPr>
          <w:i/>
          <w:iCs/>
        </w:rPr>
        <w:t>Techniques</w:t>
      </w:r>
      <w:proofErr w:type="spellEnd"/>
      <w:r w:rsidRPr="000C5F94">
        <w:rPr>
          <w:i/>
          <w:iCs/>
        </w:rPr>
        <w:t xml:space="preserve"> (BAT) </w:t>
      </w:r>
      <w:proofErr w:type="spellStart"/>
      <w:r w:rsidRPr="000C5F94">
        <w:rPr>
          <w:i/>
          <w:iCs/>
        </w:rPr>
        <w:t>Reference</w:t>
      </w:r>
      <w:proofErr w:type="spellEnd"/>
      <w:r w:rsidRPr="000C5F94">
        <w:rPr>
          <w:i/>
          <w:iCs/>
        </w:rPr>
        <w:t xml:space="preserve"> </w:t>
      </w:r>
      <w:proofErr w:type="spellStart"/>
      <w:r w:rsidRPr="000C5F94">
        <w:rPr>
          <w:i/>
          <w:iCs/>
        </w:rPr>
        <w:t>Document</w:t>
      </w:r>
      <w:proofErr w:type="spellEnd"/>
      <w:r w:rsidRPr="000C5F94">
        <w:rPr>
          <w:i/>
          <w:iCs/>
        </w:rPr>
        <w:t xml:space="preserve"> </w:t>
      </w:r>
      <w:proofErr w:type="spellStart"/>
      <w:r w:rsidRPr="000C5F94">
        <w:rPr>
          <w:i/>
          <w:iCs/>
        </w:rPr>
        <w:t>for</w:t>
      </w:r>
      <w:proofErr w:type="spellEnd"/>
      <w:r w:rsidRPr="000C5F94">
        <w:rPr>
          <w:i/>
          <w:iCs/>
        </w:rPr>
        <w:t xml:space="preserve"> </w:t>
      </w:r>
      <w:proofErr w:type="spellStart"/>
      <w:r w:rsidRPr="000C5F94">
        <w:rPr>
          <w:i/>
          <w:iCs/>
        </w:rPr>
        <w:t>the</w:t>
      </w:r>
      <w:proofErr w:type="spellEnd"/>
      <w:r w:rsidRPr="000C5F94">
        <w:rPr>
          <w:i/>
          <w:iCs/>
        </w:rPr>
        <w:t xml:space="preserve"> </w:t>
      </w:r>
      <w:proofErr w:type="spellStart"/>
      <w:r w:rsidRPr="000C5F94">
        <w:rPr>
          <w:i/>
          <w:iCs/>
        </w:rPr>
        <w:t>Intensive</w:t>
      </w:r>
      <w:proofErr w:type="spellEnd"/>
      <w:r w:rsidRPr="000C5F94">
        <w:rPr>
          <w:i/>
          <w:iCs/>
        </w:rPr>
        <w:t xml:space="preserve"> Rearing of </w:t>
      </w:r>
      <w:proofErr w:type="spellStart"/>
      <w:r w:rsidRPr="000C5F94">
        <w:rPr>
          <w:i/>
          <w:iCs/>
        </w:rPr>
        <w:t>Poultry</w:t>
      </w:r>
      <w:proofErr w:type="spellEnd"/>
      <w:r w:rsidRPr="000C5F94">
        <w:rPr>
          <w:i/>
          <w:iCs/>
        </w:rPr>
        <w:t xml:space="preserve"> </w:t>
      </w:r>
      <w:proofErr w:type="spellStart"/>
      <w:r w:rsidRPr="000C5F94">
        <w:rPr>
          <w:i/>
          <w:iCs/>
        </w:rPr>
        <w:t>or</w:t>
      </w:r>
      <w:proofErr w:type="spellEnd"/>
      <w:r w:rsidRPr="000C5F94">
        <w:rPr>
          <w:i/>
          <w:iCs/>
        </w:rPr>
        <w:t xml:space="preserve"> </w:t>
      </w:r>
      <w:proofErr w:type="spellStart"/>
      <w:r w:rsidRPr="000C5F94">
        <w:rPr>
          <w:i/>
          <w:iCs/>
        </w:rPr>
        <w:t>Pigs</w:t>
      </w:r>
      <w:proofErr w:type="spellEnd"/>
      <w:r w:rsidRPr="000C5F94">
        <w:t xml:space="preserve">, </w:t>
      </w:r>
      <w:proofErr w:type="spellStart"/>
      <w:r w:rsidRPr="000C5F94">
        <w:t>Joint</w:t>
      </w:r>
      <w:proofErr w:type="spellEnd"/>
      <w:r w:rsidRPr="000C5F94">
        <w:t xml:space="preserve"> Research Centre, Science </w:t>
      </w:r>
      <w:proofErr w:type="spellStart"/>
      <w:r w:rsidRPr="000C5F94">
        <w:t>for</w:t>
      </w:r>
      <w:proofErr w:type="spellEnd"/>
      <w:r w:rsidRPr="000C5F94">
        <w:t xml:space="preserve"> Policy </w:t>
      </w:r>
      <w:proofErr w:type="spellStart"/>
      <w:r w:rsidRPr="000C5F94">
        <w:t>Report</w:t>
      </w:r>
      <w:proofErr w:type="spellEnd"/>
      <w:r w:rsidRPr="000C5F94">
        <w:t xml:space="preserve">, Luxembourg, 2017, 612. oldal; valamint UNECE: </w:t>
      </w:r>
      <w:r w:rsidRPr="000C5F94">
        <w:rPr>
          <w:i/>
          <w:iCs/>
        </w:rPr>
        <w:t xml:space="preserve">Framework </w:t>
      </w:r>
      <w:proofErr w:type="spellStart"/>
      <w:r w:rsidRPr="000C5F94">
        <w:rPr>
          <w:i/>
          <w:iCs/>
        </w:rPr>
        <w:t>Code</w:t>
      </w:r>
      <w:proofErr w:type="spellEnd"/>
      <w:r w:rsidRPr="000C5F94">
        <w:rPr>
          <w:i/>
          <w:iCs/>
        </w:rPr>
        <w:t xml:space="preserve"> </w:t>
      </w:r>
      <w:proofErr w:type="spellStart"/>
      <w:r w:rsidRPr="000C5F94">
        <w:rPr>
          <w:i/>
          <w:iCs/>
        </w:rPr>
        <w:t>for</w:t>
      </w:r>
      <w:proofErr w:type="spellEnd"/>
      <w:r w:rsidRPr="000C5F94">
        <w:rPr>
          <w:i/>
          <w:iCs/>
        </w:rPr>
        <w:t xml:space="preserve"> Good </w:t>
      </w:r>
      <w:proofErr w:type="spellStart"/>
      <w:r w:rsidRPr="000C5F94">
        <w:rPr>
          <w:i/>
          <w:iCs/>
        </w:rPr>
        <w:t>Agricultural</w:t>
      </w:r>
      <w:proofErr w:type="spellEnd"/>
      <w:r w:rsidRPr="000C5F94">
        <w:rPr>
          <w:i/>
          <w:iCs/>
        </w:rPr>
        <w:t xml:space="preserve"> </w:t>
      </w:r>
      <w:proofErr w:type="spellStart"/>
      <w:r w:rsidRPr="000C5F94">
        <w:rPr>
          <w:i/>
          <w:iCs/>
        </w:rPr>
        <w:t>Practice</w:t>
      </w:r>
      <w:proofErr w:type="spellEnd"/>
      <w:r w:rsidRPr="000C5F94">
        <w:rPr>
          <w:i/>
          <w:iCs/>
        </w:rPr>
        <w:t xml:space="preserve"> </w:t>
      </w:r>
      <w:proofErr w:type="spellStart"/>
      <w:r w:rsidRPr="000C5F94">
        <w:rPr>
          <w:i/>
          <w:iCs/>
        </w:rPr>
        <w:t>for</w:t>
      </w:r>
      <w:proofErr w:type="spellEnd"/>
      <w:r w:rsidRPr="000C5F94">
        <w:rPr>
          <w:i/>
          <w:iCs/>
        </w:rPr>
        <w:t xml:space="preserve"> </w:t>
      </w:r>
      <w:proofErr w:type="spellStart"/>
      <w:r w:rsidRPr="000C5F94">
        <w:rPr>
          <w:i/>
          <w:iCs/>
        </w:rPr>
        <w:t>Reducing</w:t>
      </w:r>
      <w:proofErr w:type="spellEnd"/>
      <w:r w:rsidRPr="000C5F94">
        <w:rPr>
          <w:i/>
          <w:iCs/>
        </w:rPr>
        <w:t xml:space="preserve"> </w:t>
      </w:r>
      <w:proofErr w:type="spellStart"/>
      <w:r w:rsidRPr="000C5F94">
        <w:rPr>
          <w:i/>
          <w:iCs/>
        </w:rPr>
        <w:t>Ammonia</w:t>
      </w:r>
      <w:proofErr w:type="spellEnd"/>
      <w:r w:rsidRPr="000C5F94">
        <w:rPr>
          <w:i/>
          <w:iCs/>
        </w:rPr>
        <w:t xml:space="preserve"> </w:t>
      </w:r>
      <w:proofErr w:type="spellStart"/>
      <w:r w:rsidRPr="000C5F94">
        <w:rPr>
          <w:i/>
          <w:iCs/>
        </w:rPr>
        <w:t>Emissions</w:t>
      </w:r>
      <w:proofErr w:type="spellEnd"/>
      <w:r w:rsidRPr="000C5F94">
        <w:t xml:space="preserve">, United </w:t>
      </w:r>
      <w:proofErr w:type="spellStart"/>
      <w:r w:rsidRPr="000C5F94">
        <w:t>Nations</w:t>
      </w:r>
      <w:proofErr w:type="spellEnd"/>
      <w:r w:rsidRPr="000C5F94">
        <w:t xml:space="preserve"> </w:t>
      </w:r>
      <w:proofErr w:type="spellStart"/>
      <w:r w:rsidRPr="000C5F94">
        <w:t>Economic</w:t>
      </w:r>
      <w:proofErr w:type="spellEnd"/>
      <w:r w:rsidRPr="000C5F94">
        <w:t xml:space="preserve"> </w:t>
      </w:r>
      <w:proofErr w:type="spellStart"/>
      <w:r w:rsidRPr="000C5F94">
        <w:t>Commission</w:t>
      </w:r>
      <w:proofErr w:type="spellEnd"/>
      <w:r w:rsidRPr="000C5F94">
        <w:t xml:space="preserve"> </w:t>
      </w:r>
      <w:proofErr w:type="spellStart"/>
      <w:r w:rsidRPr="000C5F94">
        <w:t>for</w:t>
      </w:r>
      <w:proofErr w:type="spellEnd"/>
      <w:r w:rsidRPr="000C5F94">
        <w:t xml:space="preserve"> Europe, </w:t>
      </w:r>
      <w:proofErr w:type="spellStart"/>
      <w:r w:rsidRPr="000C5F94">
        <w:t>Geneva</w:t>
      </w:r>
      <w:proofErr w:type="spellEnd"/>
      <w:r w:rsidRPr="000C5F94">
        <w:t>, 2020</w:t>
      </w:r>
    </w:p>
  </w:footnote>
  <w:footnote w:id="6">
    <w:p w14:paraId="76D86982" w14:textId="6F0A6C28" w:rsidR="00447D1A" w:rsidRDefault="00447D1A">
      <w:pPr>
        <w:pStyle w:val="Lbjegyzetszveg"/>
      </w:pPr>
      <w:r>
        <w:rPr>
          <w:rStyle w:val="Lbjegyzet-hivatkozs"/>
        </w:rPr>
        <w:footnoteRef/>
      </w:r>
      <w:r>
        <w:t xml:space="preserve"> Dr. Ágoston Csaba – Dr. Béres András, KVI-PLUSZ Kft.: </w:t>
      </w:r>
      <w:r>
        <w:rPr>
          <w:i/>
          <w:iCs/>
        </w:rPr>
        <w:t>A zavaró szaghatás problémája és mérési módszerei intenzív mezőgazdasági források környezetében</w:t>
      </w:r>
      <w:r>
        <w:t>, Nemzeti Fejlesztési Terv Jedlik Ányos Program kutatási háttéranyag, Budapest, 2008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ook w:val="04A0" w:firstRow="1" w:lastRow="0" w:firstColumn="1" w:lastColumn="0" w:noHBand="0" w:noVBand="1"/>
    </w:tblPr>
    <w:tblGrid>
      <w:gridCol w:w="4535"/>
      <w:gridCol w:w="4535"/>
    </w:tblGrid>
    <w:tr w:rsidR="003F4D4D" w:rsidRPr="0005204B" w14:paraId="36F64814" w14:textId="77777777" w:rsidTr="00A459CB">
      <w:trPr>
        <w:tblHeader/>
        <w:jc w:val="center"/>
      </w:trPr>
      <w:sdt>
        <w:sdtPr>
          <w:rPr>
            <w:b/>
            <w:sz w:val="16"/>
            <w:szCs w:val="16"/>
          </w:rPr>
          <w:alias w:val="Projekt neve"/>
          <w:tag w:val="Projekt neve"/>
          <w:id w:val="633520732"/>
          <w:text/>
        </w:sdtPr>
        <w:sdtContent>
          <w:tc>
            <w:tcPr>
              <w:tcW w:w="4535" w:type="dxa"/>
            </w:tcPr>
            <w:p w14:paraId="1722181D" w14:textId="67AFCCC0" w:rsidR="003F4D4D" w:rsidRPr="0005204B" w:rsidRDefault="00640B53" w:rsidP="003F4D4D">
              <w:pPr>
                <w:pStyle w:val="lfej"/>
                <w:spacing w:after="60"/>
                <w:jc w:val="left"/>
                <w:rPr>
                  <w:b/>
                  <w:sz w:val="16"/>
                  <w:szCs w:val="16"/>
                </w:rPr>
              </w:pPr>
              <w:r w:rsidRPr="00640B53">
                <w:rPr>
                  <w:b/>
                  <w:sz w:val="16"/>
                  <w:szCs w:val="16"/>
                </w:rPr>
                <w:t>Sertéstelep és hígtrágya tároló létesítése</w:t>
              </w:r>
              <w:r>
                <w:rPr>
                  <w:b/>
                  <w:sz w:val="16"/>
                  <w:szCs w:val="16"/>
                </w:rPr>
                <w:t xml:space="preserve"> – IPPC-KHV</w:t>
              </w:r>
              <w:r w:rsidR="0039160B">
                <w:rPr>
                  <w:b/>
                  <w:sz w:val="16"/>
                  <w:szCs w:val="16"/>
                </w:rPr>
                <w:t xml:space="preserve"> - </w:t>
              </w:r>
              <w:r w:rsidR="001800D5">
                <w:rPr>
                  <w:b/>
                  <w:sz w:val="16"/>
                  <w:szCs w:val="16"/>
                </w:rPr>
                <w:t>Bűz</w:t>
              </w:r>
            </w:p>
          </w:tc>
        </w:sdtContent>
      </w:sdt>
      <w:sdt>
        <w:sdtPr>
          <w:rPr>
            <w:b/>
            <w:sz w:val="16"/>
            <w:szCs w:val="16"/>
          </w:rPr>
          <w:alias w:val="Cégnév"/>
          <w:tag w:val="Cégnév"/>
          <w:id w:val="1777288081"/>
          <w:text/>
        </w:sdtPr>
        <w:sdtContent>
          <w:tc>
            <w:tcPr>
              <w:tcW w:w="4535" w:type="dxa"/>
            </w:tcPr>
            <w:p w14:paraId="1203CDAE" w14:textId="3D4104FB" w:rsidR="003F4D4D" w:rsidRPr="0005204B" w:rsidRDefault="0089641D" w:rsidP="003F4D4D">
              <w:pPr>
                <w:pStyle w:val="lfej"/>
                <w:spacing w:after="0"/>
                <w:jc w:val="right"/>
                <w:rPr>
                  <w:b/>
                  <w:sz w:val="16"/>
                  <w:szCs w:val="16"/>
                </w:rPr>
              </w:pPr>
              <w:r w:rsidRPr="0089641D">
                <w:rPr>
                  <w:b/>
                  <w:sz w:val="16"/>
                  <w:szCs w:val="16"/>
                </w:rPr>
                <w:t>DR. FÜLÖP MÉNES Kft.</w:t>
              </w:r>
            </w:p>
          </w:tc>
        </w:sdtContent>
      </w:sdt>
    </w:tr>
    <w:tr w:rsidR="003F4D4D" w:rsidRPr="0005204B" w14:paraId="7A3110BF" w14:textId="77777777" w:rsidTr="00A459CB">
      <w:trPr>
        <w:tblHeader/>
        <w:jc w:val="center"/>
      </w:trPr>
      <w:tc>
        <w:tcPr>
          <w:tcW w:w="4535" w:type="dxa"/>
          <w:tcBorders>
            <w:bottom w:val="single" w:sz="4" w:space="0" w:color="auto"/>
          </w:tcBorders>
        </w:tcPr>
        <w:p w14:paraId="21380621" w14:textId="5B98B0EE" w:rsidR="003F4D4D" w:rsidRPr="0005204B" w:rsidRDefault="003F4D4D" w:rsidP="003F4D4D">
          <w:pPr>
            <w:pStyle w:val="lfej"/>
            <w:spacing w:after="60"/>
            <w:jc w:val="left"/>
            <w:rPr>
              <w:noProof/>
              <w:sz w:val="16"/>
              <w:szCs w:val="16"/>
            </w:rPr>
          </w:pPr>
          <w:r w:rsidRPr="0005204B">
            <w:rPr>
              <w:sz w:val="16"/>
              <w:szCs w:val="16"/>
            </w:rPr>
            <w:t xml:space="preserve">Munkaszám: </w:t>
          </w:r>
          <w:sdt>
            <w:sdtPr>
              <w:rPr>
                <w:sz w:val="16"/>
                <w:szCs w:val="16"/>
              </w:rPr>
              <w:alias w:val="Munkaszám"/>
              <w:tag w:val="Munkaszám"/>
              <w:id w:val="-1395355148"/>
              <w:text/>
            </w:sdtPr>
            <w:sdtContent>
              <w:r w:rsidR="0089641D" w:rsidRPr="0089641D">
                <w:rPr>
                  <w:sz w:val="16"/>
                  <w:szCs w:val="16"/>
                </w:rPr>
                <w:t>S4A/202</w:t>
              </w:r>
              <w:r w:rsidR="0039160B">
                <w:rPr>
                  <w:sz w:val="16"/>
                  <w:szCs w:val="16"/>
                </w:rPr>
                <w:t>60514</w:t>
              </w:r>
              <w:r w:rsidR="0089641D" w:rsidRPr="0089641D">
                <w:rPr>
                  <w:sz w:val="16"/>
                  <w:szCs w:val="16"/>
                </w:rPr>
                <w:t>/0</w:t>
              </w:r>
              <w:r w:rsidR="001800D5">
                <w:rPr>
                  <w:sz w:val="16"/>
                  <w:szCs w:val="16"/>
                </w:rPr>
                <w:t>5</w:t>
              </w:r>
            </w:sdtContent>
          </w:sdt>
        </w:p>
      </w:tc>
      <w:sdt>
        <w:sdtPr>
          <w:rPr>
            <w:sz w:val="16"/>
            <w:szCs w:val="16"/>
          </w:rPr>
          <w:alias w:val="Területi hatály"/>
          <w:tag w:val="Területi hatály"/>
          <w:id w:val="1628816241"/>
          <w:text/>
        </w:sdtPr>
        <w:sdtContent>
          <w:tc>
            <w:tcPr>
              <w:tcW w:w="4535" w:type="dxa"/>
              <w:tcBorders>
                <w:bottom w:val="single" w:sz="4" w:space="0" w:color="auto"/>
              </w:tcBorders>
            </w:tcPr>
            <w:p w14:paraId="7D4FD1D0" w14:textId="51B5C3BA" w:rsidR="003F4D4D" w:rsidRPr="0005204B" w:rsidRDefault="0089641D" w:rsidP="003F4D4D">
              <w:pPr>
                <w:pStyle w:val="lfej"/>
                <w:spacing w:after="0"/>
                <w:jc w:val="right"/>
                <w:rPr>
                  <w:sz w:val="16"/>
                  <w:szCs w:val="16"/>
                </w:rPr>
              </w:pPr>
              <w:r w:rsidRPr="0089641D">
                <w:rPr>
                  <w:sz w:val="16"/>
                  <w:szCs w:val="16"/>
                </w:rPr>
                <w:t>5244 Tiszaszőlős, 0244</w:t>
              </w:r>
              <w:r>
                <w:rPr>
                  <w:sz w:val="16"/>
                  <w:szCs w:val="16"/>
                </w:rPr>
                <w:t>.</w:t>
              </w:r>
              <w:r w:rsidRPr="0089641D">
                <w:rPr>
                  <w:sz w:val="16"/>
                  <w:szCs w:val="16"/>
                </w:rPr>
                <w:t xml:space="preserve"> és 0242/2 hrsz.</w:t>
              </w:r>
            </w:p>
          </w:tc>
        </w:sdtContent>
      </w:sdt>
    </w:tr>
  </w:tbl>
  <w:p w14:paraId="0CEFFFFF" w14:textId="77777777" w:rsidR="00B07ACF" w:rsidRDefault="00B07ACF" w:rsidP="004B18CE">
    <w:pPr>
      <w:pStyle w:val="lfej"/>
      <w:spacing w:after="240"/>
      <w:jc w:val="left"/>
      <w:rPr>
        <w:b/>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457B0" w14:textId="78D3C1B0" w:rsidR="00B07ACF" w:rsidRPr="00D331B5" w:rsidRDefault="006B73EE" w:rsidP="00D331B5">
    <w:pPr>
      <w:spacing w:after="240"/>
      <w:jc w:val="center"/>
      <w:rPr>
        <w:szCs w:val="32"/>
      </w:rPr>
    </w:pPr>
    <w:r>
      <w:rPr>
        <w:noProof/>
        <w:szCs w:val="32"/>
      </w:rPr>
      <w:drawing>
        <wp:inline distT="0" distB="0" distL="0" distR="0" wp14:anchorId="6EBA653C" wp14:editId="6CCDFF98">
          <wp:extent cx="5759450" cy="1755775"/>
          <wp:effectExtent l="0" t="0" r="0" b="0"/>
          <wp:docPr id="899865093"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11041" name="Kép 1434811041"/>
                  <pic:cNvPicPr/>
                </pic:nvPicPr>
                <pic:blipFill>
                  <a:blip r:embed="rId1">
                    <a:extLst>
                      <a:ext uri="{28A0092B-C50C-407E-A947-70E740481C1C}">
                        <a14:useLocalDpi xmlns:a14="http://schemas.microsoft.com/office/drawing/2010/main" val="0"/>
                      </a:ext>
                    </a:extLst>
                  </a:blip>
                  <a:stretch>
                    <a:fillRect/>
                  </a:stretch>
                </pic:blipFill>
                <pic:spPr>
                  <a:xfrm>
                    <a:off x="0" y="0"/>
                    <a:ext cx="5759450" cy="17557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A802C0E4"/>
    <w:lvl w:ilvl="0">
      <w:start w:val="1"/>
      <w:numFmt w:val="bullet"/>
      <w:pStyle w:val="Felsorols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CC789B02"/>
    <w:lvl w:ilvl="0">
      <w:start w:val="1"/>
      <w:numFmt w:val="bullet"/>
      <w:pStyle w:val="Felsorols"/>
      <w:lvlText w:val=""/>
      <w:lvlJc w:val="left"/>
      <w:pPr>
        <w:tabs>
          <w:tab w:val="num" w:pos="360"/>
        </w:tabs>
        <w:ind w:left="360" w:hanging="360"/>
      </w:pPr>
      <w:rPr>
        <w:rFonts w:ascii="Symbol" w:hAnsi="Symbol" w:hint="default"/>
      </w:rPr>
    </w:lvl>
  </w:abstractNum>
  <w:abstractNum w:abstractNumId="2" w15:restartNumberingAfterBreak="0">
    <w:nsid w:val="0A2970FF"/>
    <w:multiLevelType w:val="multilevel"/>
    <w:tmpl w:val="BAC0DADC"/>
    <w:lvl w:ilvl="0">
      <w:start w:val="1"/>
      <w:numFmt w:val="decimal"/>
      <w:pStyle w:val="Cmsor1"/>
      <w:lvlText w:val="%1."/>
      <w:lvlJc w:val="left"/>
      <w:pPr>
        <w:tabs>
          <w:tab w:val="num" w:pos="432"/>
        </w:tabs>
        <w:ind w:left="432" w:hanging="432"/>
      </w:pPr>
      <w:rPr>
        <w:rFonts w:hint="default"/>
      </w:rPr>
    </w:lvl>
    <w:lvl w:ilvl="1">
      <w:start w:val="1"/>
      <w:numFmt w:val="decimal"/>
      <w:pStyle w:val="Cmsor2"/>
      <w:lvlText w:val="%1.%2."/>
      <w:lvlJc w:val="left"/>
      <w:pPr>
        <w:tabs>
          <w:tab w:val="num" w:pos="576"/>
        </w:tabs>
        <w:ind w:left="576" w:hanging="576"/>
      </w:pPr>
      <w:rPr>
        <w:rFonts w:hint="default"/>
      </w:rPr>
    </w:lvl>
    <w:lvl w:ilvl="2">
      <w:start w:val="1"/>
      <w:numFmt w:val="decimal"/>
      <w:pStyle w:val="Cmsor3"/>
      <w:lvlText w:val="%1.%2.%3."/>
      <w:lvlJc w:val="left"/>
      <w:pPr>
        <w:tabs>
          <w:tab w:val="num" w:pos="720"/>
        </w:tabs>
        <w:ind w:left="720" w:hanging="720"/>
      </w:pPr>
      <w:rPr>
        <w:rFonts w:hint="default"/>
      </w:rPr>
    </w:lvl>
    <w:lvl w:ilvl="3">
      <w:start w:val="1"/>
      <w:numFmt w:val="decimal"/>
      <w:pStyle w:val="Cmsor4"/>
      <w:lvlText w:val="%1.%2.%3.%4."/>
      <w:lvlJc w:val="left"/>
      <w:pPr>
        <w:tabs>
          <w:tab w:val="num" w:pos="864"/>
        </w:tabs>
        <w:ind w:left="864" w:hanging="864"/>
      </w:pPr>
      <w:rPr>
        <w:rFonts w:hint="default"/>
      </w:rPr>
    </w:lvl>
    <w:lvl w:ilvl="4">
      <w:start w:val="1"/>
      <w:numFmt w:val="decimal"/>
      <w:pStyle w:val="Cmsor5"/>
      <w:lvlText w:val="%1.%2.%3.%4.%5."/>
      <w:lvlJc w:val="left"/>
      <w:pPr>
        <w:tabs>
          <w:tab w:val="num" w:pos="1008"/>
        </w:tabs>
        <w:ind w:left="1008" w:hanging="1008"/>
      </w:pPr>
      <w:rPr>
        <w:rFonts w:hint="default"/>
      </w:rPr>
    </w:lvl>
    <w:lvl w:ilvl="5">
      <w:start w:val="1"/>
      <w:numFmt w:val="decimal"/>
      <w:pStyle w:val="Cmsor6"/>
      <w:lvlText w:val="%1.%2.%3.%4.%5.%6"/>
      <w:lvlJc w:val="left"/>
      <w:pPr>
        <w:tabs>
          <w:tab w:val="num" w:pos="1152"/>
        </w:tabs>
        <w:ind w:left="1152" w:hanging="1152"/>
      </w:pPr>
      <w:rPr>
        <w:rFonts w:hint="default"/>
      </w:rPr>
    </w:lvl>
    <w:lvl w:ilvl="6">
      <w:start w:val="1"/>
      <w:numFmt w:val="decimal"/>
      <w:pStyle w:val="Cmsor7"/>
      <w:lvlText w:val="%1.%2.%3.%4.%5.%6.%7"/>
      <w:lvlJc w:val="left"/>
      <w:pPr>
        <w:tabs>
          <w:tab w:val="num" w:pos="1296"/>
        </w:tabs>
        <w:ind w:left="1296" w:hanging="1296"/>
      </w:pPr>
      <w:rPr>
        <w:rFonts w:hint="default"/>
      </w:rPr>
    </w:lvl>
    <w:lvl w:ilvl="7">
      <w:start w:val="1"/>
      <w:numFmt w:val="decimal"/>
      <w:pStyle w:val="Cmsor8"/>
      <w:lvlText w:val="%1.%2.%3.%4.%5.%6.%7.%8"/>
      <w:lvlJc w:val="left"/>
      <w:pPr>
        <w:tabs>
          <w:tab w:val="num" w:pos="1440"/>
        </w:tabs>
        <w:ind w:left="1440" w:hanging="1440"/>
      </w:pPr>
      <w:rPr>
        <w:rFonts w:hint="default"/>
      </w:rPr>
    </w:lvl>
    <w:lvl w:ilvl="8">
      <w:start w:val="1"/>
      <w:numFmt w:val="decimal"/>
      <w:pStyle w:val="Cmsor9"/>
      <w:lvlText w:val="%1.%2.%3.%4.%5.%6.%7.%8.%9"/>
      <w:lvlJc w:val="left"/>
      <w:pPr>
        <w:tabs>
          <w:tab w:val="num" w:pos="1584"/>
        </w:tabs>
        <w:ind w:left="1584" w:hanging="1584"/>
      </w:pPr>
      <w:rPr>
        <w:rFonts w:hint="default"/>
      </w:rPr>
    </w:lvl>
  </w:abstractNum>
  <w:abstractNum w:abstractNumId="3" w15:restartNumberingAfterBreak="0">
    <w:nsid w:val="0A7F570A"/>
    <w:multiLevelType w:val="multilevel"/>
    <w:tmpl w:val="8BA84782"/>
    <w:lvl w:ilvl="0">
      <w:start w:val="1"/>
      <w:numFmt w:val="decimal"/>
      <w:pStyle w:val="P1"/>
      <w:lvlText w:val="%1."/>
      <w:lvlJc w:val="left"/>
      <w:pPr>
        <w:tabs>
          <w:tab w:val="num" w:pos="360"/>
        </w:tabs>
        <w:ind w:left="360" w:hanging="360"/>
      </w:pPr>
      <w:rPr>
        <w:rFonts w:hint="default"/>
      </w:rPr>
    </w:lvl>
    <w:lvl w:ilvl="1">
      <w:start w:val="1"/>
      <w:numFmt w:val="decimal"/>
      <w:pStyle w:val="P2"/>
      <w:lvlText w:val="%1.%2."/>
      <w:lvlJc w:val="left"/>
      <w:pPr>
        <w:tabs>
          <w:tab w:val="num" w:pos="792"/>
        </w:tabs>
        <w:ind w:left="792" w:hanging="432"/>
      </w:pPr>
      <w:rPr>
        <w:rFonts w:hint="default"/>
      </w:rPr>
    </w:lvl>
    <w:lvl w:ilvl="2">
      <w:start w:val="1"/>
      <w:numFmt w:val="decimal"/>
      <w:pStyle w:val="P3"/>
      <w:lvlText w:val="%1.%2.%3."/>
      <w:lvlJc w:val="left"/>
      <w:pPr>
        <w:tabs>
          <w:tab w:val="num" w:pos="1440"/>
        </w:tabs>
        <w:ind w:left="1224" w:hanging="504"/>
      </w:pPr>
      <w:rPr>
        <w:rFonts w:hint="default"/>
      </w:rPr>
    </w:lvl>
    <w:lvl w:ilvl="3">
      <w:start w:val="1"/>
      <w:numFmt w:val="decimal"/>
      <w:pStyle w:val="P4"/>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DEF0E6F"/>
    <w:multiLevelType w:val="multilevel"/>
    <w:tmpl w:val="F5DEF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D29472F"/>
    <w:multiLevelType w:val="multilevel"/>
    <w:tmpl w:val="252C8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923B97"/>
    <w:multiLevelType w:val="multilevel"/>
    <w:tmpl w:val="AA400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2E7DAC"/>
    <w:multiLevelType w:val="multilevel"/>
    <w:tmpl w:val="85104902"/>
    <w:styleLink w:val="Mellkletekjegyzke"/>
    <w:lvl w:ilvl="0">
      <w:start w:val="1"/>
      <w:numFmt w:val="ordinal"/>
      <w:lvlText w:val="%1)"/>
      <w:lvlJc w:val="left"/>
      <w:pPr>
        <w:ind w:left="567" w:hanging="567"/>
      </w:pPr>
      <w:rPr>
        <w:rFonts w:ascii="Garamond" w:hAnsi="Garamond"/>
        <w:b/>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77967EE"/>
    <w:multiLevelType w:val="multilevel"/>
    <w:tmpl w:val="AB8A6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D8441B"/>
    <w:multiLevelType w:val="multilevel"/>
    <w:tmpl w:val="ED185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D7A7FED"/>
    <w:multiLevelType w:val="multilevel"/>
    <w:tmpl w:val="1952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0547850"/>
    <w:multiLevelType w:val="multilevel"/>
    <w:tmpl w:val="D49604D4"/>
    <w:styleLink w:val="WW8Num3"/>
    <w:lvl w:ilvl="0">
      <w:numFmt w:val="bullet"/>
      <w:lvlText w:val=""/>
      <w:lvlJc w:val="left"/>
      <w:pPr>
        <w:ind w:left="720" w:hanging="360"/>
      </w:pPr>
      <w:rPr>
        <w:rFonts w:ascii="Wingdings 2" w:hAnsi="Wingdings 2" w:cs="OpenSymbol, 'Arial Unicode MS'"/>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Wingdings 2" w:hAnsi="Wingdings 2" w:cs="OpenSymbol, 'Arial Unicode MS'"/>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Wingdings 2" w:hAnsi="Wingdings 2" w:cs="OpenSymbol, 'Arial Unicode MS'"/>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12" w15:restartNumberingAfterBreak="0">
    <w:nsid w:val="53E71610"/>
    <w:multiLevelType w:val="multilevel"/>
    <w:tmpl w:val="34DA1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A8905A5"/>
    <w:multiLevelType w:val="hybridMultilevel"/>
    <w:tmpl w:val="28083784"/>
    <w:lvl w:ilvl="0" w:tplc="5F28F886">
      <w:start w:val="1"/>
      <w:numFmt w:val="bullet"/>
      <w:pStyle w:val="Listaszerbekezds"/>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5D8C15B3"/>
    <w:multiLevelType w:val="multilevel"/>
    <w:tmpl w:val="96501E2C"/>
    <w:lvl w:ilvl="0">
      <w:start w:val="1"/>
      <w:numFmt w:val="decimal"/>
      <w:pStyle w:val="StlusCmsor1NemFlkvr"/>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tlusCmsor3Eltte6ptUtna6ptSorkzszimpla"/>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70EA00A1"/>
    <w:multiLevelType w:val="multilevel"/>
    <w:tmpl w:val="89A03C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28C2991"/>
    <w:multiLevelType w:val="multilevel"/>
    <w:tmpl w:val="97E82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4523A21"/>
    <w:multiLevelType w:val="multilevel"/>
    <w:tmpl w:val="89EC8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73C1CCA"/>
    <w:multiLevelType w:val="hybridMultilevel"/>
    <w:tmpl w:val="3ABCB4E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7E317B6E"/>
    <w:multiLevelType w:val="multilevel"/>
    <w:tmpl w:val="E208E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2282363">
    <w:abstractNumId w:val="2"/>
  </w:num>
  <w:num w:numId="2" w16cid:durableId="1390153416">
    <w:abstractNumId w:val="7"/>
  </w:num>
  <w:num w:numId="3" w16cid:durableId="1164474720">
    <w:abstractNumId w:val="3"/>
  </w:num>
  <w:num w:numId="4" w16cid:durableId="1590043021">
    <w:abstractNumId w:val="14"/>
  </w:num>
  <w:num w:numId="5" w16cid:durableId="232930524">
    <w:abstractNumId w:val="11"/>
  </w:num>
  <w:num w:numId="6" w16cid:durableId="248583711">
    <w:abstractNumId w:val="1"/>
  </w:num>
  <w:num w:numId="7" w16cid:durableId="1258364026">
    <w:abstractNumId w:val="0"/>
  </w:num>
  <w:num w:numId="8" w16cid:durableId="1235355903">
    <w:abstractNumId w:val="13"/>
  </w:num>
  <w:num w:numId="9" w16cid:durableId="948467419">
    <w:abstractNumId w:val="17"/>
  </w:num>
  <w:num w:numId="10" w16cid:durableId="2060282560">
    <w:abstractNumId w:val="12"/>
  </w:num>
  <w:num w:numId="11" w16cid:durableId="1388257555">
    <w:abstractNumId w:val="6"/>
  </w:num>
  <w:num w:numId="12" w16cid:durableId="805052567">
    <w:abstractNumId w:val="8"/>
  </w:num>
  <w:num w:numId="13" w16cid:durableId="1841966692">
    <w:abstractNumId w:val="19"/>
  </w:num>
  <w:num w:numId="14" w16cid:durableId="1275479194">
    <w:abstractNumId w:val="10"/>
  </w:num>
  <w:num w:numId="15" w16cid:durableId="502234614">
    <w:abstractNumId w:val="4"/>
  </w:num>
  <w:num w:numId="16" w16cid:durableId="34279444">
    <w:abstractNumId w:val="5"/>
  </w:num>
  <w:num w:numId="17" w16cid:durableId="951547573">
    <w:abstractNumId w:val="15"/>
  </w:num>
  <w:num w:numId="18" w16cid:durableId="669218364">
    <w:abstractNumId w:val="16"/>
  </w:num>
  <w:num w:numId="19" w16cid:durableId="336034081">
    <w:abstractNumId w:val="9"/>
  </w:num>
  <w:num w:numId="20" w16cid:durableId="1897622531">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315"/>
    <w:rsid w:val="0000176E"/>
    <w:rsid w:val="0000230B"/>
    <w:rsid w:val="00002D0C"/>
    <w:rsid w:val="00004307"/>
    <w:rsid w:val="00011FC6"/>
    <w:rsid w:val="0001544F"/>
    <w:rsid w:val="0001614C"/>
    <w:rsid w:val="00016190"/>
    <w:rsid w:val="00016831"/>
    <w:rsid w:val="0001738C"/>
    <w:rsid w:val="00017552"/>
    <w:rsid w:val="0002078A"/>
    <w:rsid w:val="00025E08"/>
    <w:rsid w:val="0002678A"/>
    <w:rsid w:val="00032EBD"/>
    <w:rsid w:val="0003368C"/>
    <w:rsid w:val="00033E86"/>
    <w:rsid w:val="00034A48"/>
    <w:rsid w:val="000376C4"/>
    <w:rsid w:val="00042C8E"/>
    <w:rsid w:val="00044B3B"/>
    <w:rsid w:val="000456DB"/>
    <w:rsid w:val="00051313"/>
    <w:rsid w:val="00052121"/>
    <w:rsid w:val="00054346"/>
    <w:rsid w:val="0005485E"/>
    <w:rsid w:val="00055CCD"/>
    <w:rsid w:val="0005700E"/>
    <w:rsid w:val="0005704F"/>
    <w:rsid w:val="000571B2"/>
    <w:rsid w:val="00064A12"/>
    <w:rsid w:val="00065163"/>
    <w:rsid w:val="00066F7E"/>
    <w:rsid w:val="00067E76"/>
    <w:rsid w:val="00071F56"/>
    <w:rsid w:val="000758B8"/>
    <w:rsid w:val="00077365"/>
    <w:rsid w:val="000779D6"/>
    <w:rsid w:val="00080307"/>
    <w:rsid w:val="00082E6C"/>
    <w:rsid w:val="000839E4"/>
    <w:rsid w:val="000844D0"/>
    <w:rsid w:val="0009310D"/>
    <w:rsid w:val="0009406E"/>
    <w:rsid w:val="000964AE"/>
    <w:rsid w:val="00097733"/>
    <w:rsid w:val="000A1A0C"/>
    <w:rsid w:val="000A467B"/>
    <w:rsid w:val="000A7B19"/>
    <w:rsid w:val="000B19AF"/>
    <w:rsid w:val="000B3581"/>
    <w:rsid w:val="000B5788"/>
    <w:rsid w:val="000C18A4"/>
    <w:rsid w:val="000C2315"/>
    <w:rsid w:val="000C53A8"/>
    <w:rsid w:val="000C5F94"/>
    <w:rsid w:val="000D0C38"/>
    <w:rsid w:val="000D0F3A"/>
    <w:rsid w:val="000D33D3"/>
    <w:rsid w:val="000D3551"/>
    <w:rsid w:val="000D43EC"/>
    <w:rsid w:val="000D6B04"/>
    <w:rsid w:val="000D78EE"/>
    <w:rsid w:val="000D7D11"/>
    <w:rsid w:val="000E0115"/>
    <w:rsid w:val="000E15F1"/>
    <w:rsid w:val="000E3F78"/>
    <w:rsid w:val="000E45EE"/>
    <w:rsid w:val="000E67C9"/>
    <w:rsid w:val="000E6E35"/>
    <w:rsid w:val="000E78CA"/>
    <w:rsid w:val="000F093F"/>
    <w:rsid w:val="000F1C6E"/>
    <w:rsid w:val="000F3F69"/>
    <w:rsid w:val="000F48BE"/>
    <w:rsid w:val="0010021A"/>
    <w:rsid w:val="001018FA"/>
    <w:rsid w:val="00106C2B"/>
    <w:rsid w:val="0011036C"/>
    <w:rsid w:val="0011057E"/>
    <w:rsid w:val="0011362B"/>
    <w:rsid w:val="001137F5"/>
    <w:rsid w:val="00114B0F"/>
    <w:rsid w:val="00115711"/>
    <w:rsid w:val="0011690F"/>
    <w:rsid w:val="0011774F"/>
    <w:rsid w:val="00121948"/>
    <w:rsid w:val="00121DD8"/>
    <w:rsid w:val="00124488"/>
    <w:rsid w:val="001245BF"/>
    <w:rsid w:val="001267E6"/>
    <w:rsid w:val="00126C15"/>
    <w:rsid w:val="00127A84"/>
    <w:rsid w:val="001324C1"/>
    <w:rsid w:val="001350AB"/>
    <w:rsid w:val="00142386"/>
    <w:rsid w:val="00142A28"/>
    <w:rsid w:val="00145C1E"/>
    <w:rsid w:val="001472AA"/>
    <w:rsid w:val="0014754C"/>
    <w:rsid w:val="00151346"/>
    <w:rsid w:val="00152071"/>
    <w:rsid w:val="00152E2D"/>
    <w:rsid w:val="001546FA"/>
    <w:rsid w:val="0015742A"/>
    <w:rsid w:val="00161B00"/>
    <w:rsid w:val="001632C5"/>
    <w:rsid w:val="00163D2D"/>
    <w:rsid w:val="001646E3"/>
    <w:rsid w:val="0016513A"/>
    <w:rsid w:val="00166399"/>
    <w:rsid w:val="00170244"/>
    <w:rsid w:val="00172A3C"/>
    <w:rsid w:val="001762AB"/>
    <w:rsid w:val="0017660B"/>
    <w:rsid w:val="001800D5"/>
    <w:rsid w:val="00180503"/>
    <w:rsid w:val="00180E1E"/>
    <w:rsid w:val="00185175"/>
    <w:rsid w:val="001851A4"/>
    <w:rsid w:val="00185880"/>
    <w:rsid w:val="001A00C3"/>
    <w:rsid w:val="001A18AA"/>
    <w:rsid w:val="001A18EA"/>
    <w:rsid w:val="001A5377"/>
    <w:rsid w:val="001B0577"/>
    <w:rsid w:val="001B0A32"/>
    <w:rsid w:val="001B1BF9"/>
    <w:rsid w:val="001B40DE"/>
    <w:rsid w:val="001B52EF"/>
    <w:rsid w:val="001B793A"/>
    <w:rsid w:val="001C0A4D"/>
    <w:rsid w:val="001C4219"/>
    <w:rsid w:val="001C6715"/>
    <w:rsid w:val="001C7BD9"/>
    <w:rsid w:val="001D040B"/>
    <w:rsid w:val="001D2EF8"/>
    <w:rsid w:val="001D2F31"/>
    <w:rsid w:val="001D513B"/>
    <w:rsid w:val="001D52EB"/>
    <w:rsid w:val="001E072E"/>
    <w:rsid w:val="001E436E"/>
    <w:rsid w:val="001E4B36"/>
    <w:rsid w:val="001E4F19"/>
    <w:rsid w:val="001E5FDA"/>
    <w:rsid w:val="001E6332"/>
    <w:rsid w:val="001E6D81"/>
    <w:rsid w:val="001F1607"/>
    <w:rsid w:val="001F1696"/>
    <w:rsid w:val="001F7CB8"/>
    <w:rsid w:val="00200F08"/>
    <w:rsid w:val="00203459"/>
    <w:rsid w:val="0020509C"/>
    <w:rsid w:val="0020708D"/>
    <w:rsid w:val="00220E8F"/>
    <w:rsid w:val="00222712"/>
    <w:rsid w:val="00222B0C"/>
    <w:rsid w:val="00222F36"/>
    <w:rsid w:val="00223EB9"/>
    <w:rsid w:val="00224F7F"/>
    <w:rsid w:val="002264EB"/>
    <w:rsid w:val="00226DEC"/>
    <w:rsid w:val="00230C63"/>
    <w:rsid w:val="00236F2B"/>
    <w:rsid w:val="00242C82"/>
    <w:rsid w:val="00244267"/>
    <w:rsid w:val="0024699D"/>
    <w:rsid w:val="0025412C"/>
    <w:rsid w:val="002544AB"/>
    <w:rsid w:val="00254780"/>
    <w:rsid w:val="00255272"/>
    <w:rsid w:val="00256AAA"/>
    <w:rsid w:val="00256C57"/>
    <w:rsid w:val="00257256"/>
    <w:rsid w:val="00257DFD"/>
    <w:rsid w:val="00264C35"/>
    <w:rsid w:val="00265FB3"/>
    <w:rsid w:val="0026614F"/>
    <w:rsid w:val="00267CD0"/>
    <w:rsid w:val="002727B1"/>
    <w:rsid w:val="002748A5"/>
    <w:rsid w:val="002808C7"/>
    <w:rsid w:val="00280B33"/>
    <w:rsid w:val="0028388B"/>
    <w:rsid w:val="00285078"/>
    <w:rsid w:val="00285E6A"/>
    <w:rsid w:val="00294FCA"/>
    <w:rsid w:val="00295F6F"/>
    <w:rsid w:val="00296024"/>
    <w:rsid w:val="002A0051"/>
    <w:rsid w:val="002A00AF"/>
    <w:rsid w:val="002A07B7"/>
    <w:rsid w:val="002A26F9"/>
    <w:rsid w:val="002A5D39"/>
    <w:rsid w:val="002A693E"/>
    <w:rsid w:val="002A722E"/>
    <w:rsid w:val="002B130F"/>
    <w:rsid w:val="002B2028"/>
    <w:rsid w:val="002B365F"/>
    <w:rsid w:val="002B40EC"/>
    <w:rsid w:val="002B4169"/>
    <w:rsid w:val="002B7BFB"/>
    <w:rsid w:val="002C3287"/>
    <w:rsid w:val="002C5B3C"/>
    <w:rsid w:val="002C757E"/>
    <w:rsid w:val="002D1F0E"/>
    <w:rsid w:val="002D2536"/>
    <w:rsid w:val="002D2B0B"/>
    <w:rsid w:val="002D2BB4"/>
    <w:rsid w:val="002D2D60"/>
    <w:rsid w:val="002D3836"/>
    <w:rsid w:val="002D432A"/>
    <w:rsid w:val="002D46E1"/>
    <w:rsid w:val="002D47EB"/>
    <w:rsid w:val="002D5559"/>
    <w:rsid w:val="002D60F7"/>
    <w:rsid w:val="002D6708"/>
    <w:rsid w:val="002D7FF3"/>
    <w:rsid w:val="002E0A78"/>
    <w:rsid w:val="002E3019"/>
    <w:rsid w:val="002E3069"/>
    <w:rsid w:val="002E3518"/>
    <w:rsid w:val="002F2AC5"/>
    <w:rsid w:val="002F2D7E"/>
    <w:rsid w:val="002F35F3"/>
    <w:rsid w:val="002F3E85"/>
    <w:rsid w:val="0030070B"/>
    <w:rsid w:val="00300765"/>
    <w:rsid w:val="00300A15"/>
    <w:rsid w:val="00300E8B"/>
    <w:rsid w:val="00302F44"/>
    <w:rsid w:val="00303BD0"/>
    <w:rsid w:val="00306001"/>
    <w:rsid w:val="00310D69"/>
    <w:rsid w:val="0031169A"/>
    <w:rsid w:val="00317EBC"/>
    <w:rsid w:val="00322C81"/>
    <w:rsid w:val="00324977"/>
    <w:rsid w:val="00324DBA"/>
    <w:rsid w:val="003265F2"/>
    <w:rsid w:val="00327049"/>
    <w:rsid w:val="00327BEE"/>
    <w:rsid w:val="00330F75"/>
    <w:rsid w:val="00334879"/>
    <w:rsid w:val="0033783C"/>
    <w:rsid w:val="00337BED"/>
    <w:rsid w:val="0034031C"/>
    <w:rsid w:val="00340601"/>
    <w:rsid w:val="00341FC3"/>
    <w:rsid w:val="00342B2D"/>
    <w:rsid w:val="0034322F"/>
    <w:rsid w:val="00345DE4"/>
    <w:rsid w:val="0035025E"/>
    <w:rsid w:val="003516E0"/>
    <w:rsid w:val="00363842"/>
    <w:rsid w:val="003757BA"/>
    <w:rsid w:val="003829F2"/>
    <w:rsid w:val="00386C82"/>
    <w:rsid w:val="0039160B"/>
    <w:rsid w:val="00392BF7"/>
    <w:rsid w:val="00392F84"/>
    <w:rsid w:val="00393433"/>
    <w:rsid w:val="00393B6C"/>
    <w:rsid w:val="0039457D"/>
    <w:rsid w:val="00397DF7"/>
    <w:rsid w:val="003A070B"/>
    <w:rsid w:val="003A2DE4"/>
    <w:rsid w:val="003A3C64"/>
    <w:rsid w:val="003A67CB"/>
    <w:rsid w:val="003B0A5C"/>
    <w:rsid w:val="003B15DE"/>
    <w:rsid w:val="003B1EA5"/>
    <w:rsid w:val="003B3438"/>
    <w:rsid w:val="003B4C46"/>
    <w:rsid w:val="003B67A6"/>
    <w:rsid w:val="003B7D04"/>
    <w:rsid w:val="003C0C89"/>
    <w:rsid w:val="003C3F08"/>
    <w:rsid w:val="003C46AA"/>
    <w:rsid w:val="003C5A9F"/>
    <w:rsid w:val="003D0590"/>
    <w:rsid w:val="003D0C48"/>
    <w:rsid w:val="003D2028"/>
    <w:rsid w:val="003D2F50"/>
    <w:rsid w:val="003E01DC"/>
    <w:rsid w:val="003E0771"/>
    <w:rsid w:val="003E352C"/>
    <w:rsid w:val="003E5718"/>
    <w:rsid w:val="003E5B06"/>
    <w:rsid w:val="003E691B"/>
    <w:rsid w:val="003F04D0"/>
    <w:rsid w:val="003F3DDE"/>
    <w:rsid w:val="003F4D4D"/>
    <w:rsid w:val="003F5E03"/>
    <w:rsid w:val="003F7212"/>
    <w:rsid w:val="003F746D"/>
    <w:rsid w:val="003F766A"/>
    <w:rsid w:val="0040005C"/>
    <w:rsid w:val="0040134A"/>
    <w:rsid w:val="004014AD"/>
    <w:rsid w:val="00401C16"/>
    <w:rsid w:val="004048CA"/>
    <w:rsid w:val="004058C2"/>
    <w:rsid w:val="00406A8F"/>
    <w:rsid w:val="00411843"/>
    <w:rsid w:val="00412DB2"/>
    <w:rsid w:val="0041371A"/>
    <w:rsid w:val="00413D8A"/>
    <w:rsid w:val="0041615B"/>
    <w:rsid w:val="00416368"/>
    <w:rsid w:val="00417348"/>
    <w:rsid w:val="0042073F"/>
    <w:rsid w:val="00420D93"/>
    <w:rsid w:val="004251B6"/>
    <w:rsid w:val="0042657D"/>
    <w:rsid w:val="0043171D"/>
    <w:rsid w:val="00431BC7"/>
    <w:rsid w:val="004328BA"/>
    <w:rsid w:val="00432B63"/>
    <w:rsid w:val="00433BCB"/>
    <w:rsid w:val="0043448A"/>
    <w:rsid w:val="00434612"/>
    <w:rsid w:val="00434AC1"/>
    <w:rsid w:val="004356FA"/>
    <w:rsid w:val="00437875"/>
    <w:rsid w:val="00440C14"/>
    <w:rsid w:val="00441AA9"/>
    <w:rsid w:val="0044438C"/>
    <w:rsid w:val="0044674E"/>
    <w:rsid w:val="00447D1A"/>
    <w:rsid w:val="004546E7"/>
    <w:rsid w:val="00454DA2"/>
    <w:rsid w:val="00454DC0"/>
    <w:rsid w:val="00457D8E"/>
    <w:rsid w:val="00460BB4"/>
    <w:rsid w:val="00460EF9"/>
    <w:rsid w:val="00464940"/>
    <w:rsid w:val="004679A0"/>
    <w:rsid w:val="00470842"/>
    <w:rsid w:val="00471D7A"/>
    <w:rsid w:val="0047246F"/>
    <w:rsid w:val="00473A03"/>
    <w:rsid w:val="00476363"/>
    <w:rsid w:val="00476BCC"/>
    <w:rsid w:val="004820B4"/>
    <w:rsid w:val="00482BF1"/>
    <w:rsid w:val="0048551C"/>
    <w:rsid w:val="00486C9D"/>
    <w:rsid w:val="00487A8F"/>
    <w:rsid w:val="00491268"/>
    <w:rsid w:val="00491BC0"/>
    <w:rsid w:val="00492BB0"/>
    <w:rsid w:val="00493A7E"/>
    <w:rsid w:val="00494D59"/>
    <w:rsid w:val="00496CFA"/>
    <w:rsid w:val="004A20B4"/>
    <w:rsid w:val="004A3178"/>
    <w:rsid w:val="004A7B71"/>
    <w:rsid w:val="004B040F"/>
    <w:rsid w:val="004B102D"/>
    <w:rsid w:val="004B18CE"/>
    <w:rsid w:val="004B3280"/>
    <w:rsid w:val="004B5E8F"/>
    <w:rsid w:val="004B6106"/>
    <w:rsid w:val="004B6FC6"/>
    <w:rsid w:val="004C1D87"/>
    <w:rsid w:val="004C5124"/>
    <w:rsid w:val="004C6D39"/>
    <w:rsid w:val="004C7CE2"/>
    <w:rsid w:val="004D0266"/>
    <w:rsid w:val="004D1951"/>
    <w:rsid w:val="004D2D87"/>
    <w:rsid w:val="004E103E"/>
    <w:rsid w:val="004E5E84"/>
    <w:rsid w:val="004E6188"/>
    <w:rsid w:val="004E6EA5"/>
    <w:rsid w:val="004F083B"/>
    <w:rsid w:val="004F37D2"/>
    <w:rsid w:val="004F4E26"/>
    <w:rsid w:val="004F5145"/>
    <w:rsid w:val="004F7222"/>
    <w:rsid w:val="004F78F9"/>
    <w:rsid w:val="005031DC"/>
    <w:rsid w:val="0050475C"/>
    <w:rsid w:val="00513CF0"/>
    <w:rsid w:val="005156A8"/>
    <w:rsid w:val="00515917"/>
    <w:rsid w:val="005165B3"/>
    <w:rsid w:val="00516D5A"/>
    <w:rsid w:val="0051745E"/>
    <w:rsid w:val="00521D26"/>
    <w:rsid w:val="005275AF"/>
    <w:rsid w:val="00530553"/>
    <w:rsid w:val="00532FA7"/>
    <w:rsid w:val="00537BFF"/>
    <w:rsid w:val="00540F2A"/>
    <w:rsid w:val="005410C4"/>
    <w:rsid w:val="00541C94"/>
    <w:rsid w:val="00542A4F"/>
    <w:rsid w:val="005436FA"/>
    <w:rsid w:val="00543A20"/>
    <w:rsid w:val="00543F78"/>
    <w:rsid w:val="005462C2"/>
    <w:rsid w:val="00546E84"/>
    <w:rsid w:val="0055272B"/>
    <w:rsid w:val="00552D5D"/>
    <w:rsid w:val="00554595"/>
    <w:rsid w:val="00556DB2"/>
    <w:rsid w:val="00560E1B"/>
    <w:rsid w:val="00561B41"/>
    <w:rsid w:val="005622EF"/>
    <w:rsid w:val="00562520"/>
    <w:rsid w:val="005628E4"/>
    <w:rsid w:val="00564293"/>
    <w:rsid w:val="00564312"/>
    <w:rsid w:val="00565397"/>
    <w:rsid w:val="00566CC2"/>
    <w:rsid w:val="005704E4"/>
    <w:rsid w:val="00571DB5"/>
    <w:rsid w:val="0057239F"/>
    <w:rsid w:val="00575EE3"/>
    <w:rsid w:val="00580E8B"/>
    <w:rsid w:val="005847AD"/>
    <w:rsid w:val="00584B7C"/>
    <w:rsid w:val="00587B71"/>
    <w:rsid w:val="00587EC7"/>
    <w:rsid w:val="005904A2"/>
    <w:rsid w:val="00592DB4"/>
    <w:rsid w:val="005931E8"/>
    <w:rsid w:val="005940A8"/>
    <w:rsid w:val="0059464F"/>
    <w:rsid w:val="005979D3"/>
    <w:rsid w:val="005A0303"/>
    <w:rsid w:val="005A45B8"/>
    <w:rsid w:val="005A73FC"/>
    <w:rsid w:val="005A7FB3"/>
    <w:rsid w:val="005B052D"/>
    <w:rsid w:val="005B1281"/>
    <w:rsid w:val="005B76C4"/>
    <w:rsid w:val="005C0A06"/>
    <w:rsid w:val="005C0F85"/>
    <w:rsid w:val="005C6679"/>
    <w:rsid w:val="005D04C9"/>
    <w:rsid w:val="005D0D41"/>
    <w:rsid w:val="005D112D"/>
    <w:rsid w:val="005D3005"/>
    <w:rsid w:val="005D3F18"/>
    <w:rsid w:val="005D5954"/>
    <w:rsid w:val="005D6F49"/>
    <w:rsid w:val="005D79AB"/>
    <w:rsid w:val="005E053A"/>
    <w:rsid w:val="005E0C06"/>
    <w:rsid w:val="005E0DFD"/>
    <w:rsid w:val="005E2051"/>
    <w:rsid w:val="005E4988"/>
    <w:rsid w:val="005E5189"/>
    <w:rsid w:val="005E54B7"/>
    <w:rsid w:val="005E56F3"/>
    <w:rsid w:val="005E7D50"/>
    <w:rsid w:val="005F04D1"/>
    <w:rsid w:val="005F1DA3"/>
    <w:rsid w:val="005F39A3"/>
    <w:rsid w:val="005F3A2D"/>
    <w:rsid w:val="005F4406"/>
    <w:rsid w:val="005F7214"/>
    <w:rsid w:val="00601477"/>
    <w:rsid w:val="006022AA"/>
    <w:rsid w:val="00602BBB"/>
    <w:rsid w:val="00604349"/>
    <w:rsid w:val="00605C46"/>
    <w:rsid w:val="006062E1"/>
    <w:rsid w:val="00606479"/>
    <w:rsid w:val="00610C42"/>
    <w:rsid w:val="00610F1D"/>
    <w:rsid w:val="00611254"/>
    <w:rsid w:val="00612A0A"/>
    <w:rsid w:val="00613B80"/>
    <w:rsid w:val="006147D5"/>
    <w:rsid w:val="00615EFA"/>
    <w:rsid w:val="00616E20"/>
    <w:rsid w:val="006171B2"/>
    <w:rsid w:val="00617FA6"/>
    <w:rsid w:val="00620D3E"/>
    <w:rsid w:val="00621349"/>
    <w:rsid w:val="0062149D"/>
    <w:rsid w:val="00621F90"/>
    <w:rsid w:val="00622581"/>
    <w:rsid w:val="00623AC2"/>
    <w:rsid w:val="00623EA3"/>
    <w:rsid w:val="00623EEC"/>
    <w:rsid w:val="00632AE6"/>
    <w:rsid w:val="00633ECB"/>
    <w:rsid w:val="00634106"/>
    <w:rsid w:val="00634378"/>
    <w:rsid w:val="00635D74"/>
    <w:rsid w:val="00640B53"/>
    <w:rsid w:val="006416BE"/>
    <w:rsid w:val="006421B8"/>
    <w:rsid w:val="00642E6F"/>
    <w:rsid w:val="006442D4"/>
    <w:rsid w:val="00644BD2"/>
    <w:rsid w:val="006462A6"/>
    <w:rsid w:val="00650449"/>
    <w:rsid w:val="006566BA"/>
    <w:rsid w:val="00656754"/>
    <w:rsid w:val="006623C6"/>
    <w:rsid w:val="0066482B"/>
    <w:rsid w:val="006650BB"/>
    <w:rsid w:val="00665757"/>
    <w:rsid w:val="00665988"/>
    <w:rsid w:val="00666B36"/>
    <w:rsid w:val="00671761"/>
    <w:rsid w:val="00673B6E"/>
    <w:rsid w:val="0067525C"/>
    <w:rsid w:val="00677C43"/>
    <w:rsid w:val="006809D2"/>
    <w:rsid w:val="006854BF"/>
    <w:rsid w:val="00686CBE"/>
    <w:rsid w:val="00691440"/>
    <w:rsid w:val="0069235C"/>
    <w:rsid w:val="006931D1"/>
    <w:rsid w:val="00693290"/>
    <w:rsid w:val="006952DE"/>
    <w:rsid w:val="00697B99"/>
    <w:rsid w:val="006A00DA"/>
    <w:rsid w:val="006A1099"/>
    <w:rsid w:val="006A4642"/>
    <w:rsid w:val="006A4829"/>
    <w:rsid w:val="006A6957"/>
    <w:rsid w:val="006A6B00"/>
    <w:rsid w:val="006A758F"/>
    <w:rsid w:val="006B2C32"/>
    <w:rsid w:val="006B4920"/>
    <w:rsid w:val="006B512F"/>
    <w:rsid w:val="006B6547"/>
    <w:rsid w:val="006B73EE"/>
    <w:rsid w:val="006C13CF"/>
    <w:rsid w:val="006C528F"/>
    <w:rsid w:val="006C5399"/>
    <w:rsid w:val="006C763F"/>
    <w:rsid w:val="006C7A31"/>
    <w:rsid w:val="006D3A6E"/>
    <w:rsid w:val="006D4789"/>
    <w:rsid w:val="006D5D47"/>
    <w:rsid w:val="006D680C"/>
    <w:rsid w:val="006D7607"/>
    <w:rsid w:val="006E1098"/>
    <w:rsid w:val="006E302B"/>
    <w:rsid w:val="006E3432"/>
    <w:rsid w:val="006F3BEC"/>
    <w:rsid w:val="006F4576"/>
    <w:rsid w:val="006F5CD3"/>
    <w:rsid w:val="006F5CDC"/>
    <w:rsid w:val="006F69A7"/>
    <w:rsid w:val="006F766F"/>
    <w:rsid w:val="00702C8D"/>
    <w:rsid w:val="007038E2"/>
    <w:rsid w:val="00703ED2"/>
    <w:rsid w:val="00705646"/>
    <w:rsid w:val="00713230"/>
    <w:rsid w:val="0071457C"/>
    <w:rsid w:val="00715C0A"/>
    <w:rsid w:val="00716138"/>
    <w:rsid w:val="007207F6"/>
    <w:rsid w:val="00722778"/>
    <w:rsid w:val="00722E7E"/>
    <w:rsid w:val="007234E8"/>
    <w:rsid w:val="0072563D"/>
    <w:rsid w:val="00732C83"/>
    <w:rsid w:val="0073429B"/>
    <w:rsid w:val="007361DF"/>
    <w:rsid w:val="007364A3"/>
    <w:rsid w:val="00736B65"/>
    <w:rsid w:val="00740821"/>
    <w:rsid w:val="007409CF"/>
    <w:rsid w:val="00742D41"/>
    <w:rsid w:val="007435F8"/>
    <w:rsid w:val="0074449A"/>
    <w:rsid w:val="007479F8"/>
    <w:rsid w:val="00750065"/>
    <w:rsid w:val="00750237"/>
    <w:rsid w:val="007523AB"/>
    <w:rsid w:val="00757062"/>
    <w:rsid w:val="007624BF"/>
    <w:rsid w:val="00763AE2"/>
    <w:rsid w:val="00767CE0"/>
    <w:rsid w:val="007737B1"/>
    <w:rsid w:val="00774444"/>
    <w:rsid w:val="00775500"/>
    <w:rsid w:val="0078078B"/>
    <w:rsid w:val="00781358"/>
    <w:rsid w:val="007819EA"/>
    <w:rsid w:val="00781F53"/>
    <w:rsid w:val="007823ED"/>
    <w:rsid w:val="00782C34"/>
    <w:rsid w:val="007849BA"/>
    <w:rsid w:val="00784D07"/>
    <w:rsid w:val="00787A1D"/>
    <w:rsid w:val="00787BAE"/>
    <w:rsid w:val="007905EC"/>
    <w:rsid w:val="00790E40"/>
    <w:rsid w:val="00791E4D"/>
    <w:rsid w:val="00791F05"/>
    <w:rsid w:val="007924A9"/>
    <w:rsid w:val="0079270C"/>
    <w:rsid w:val="00792FF0"/>
    <w:rsid w:val="00795969"/>
    <w:rsid w:val="00795B5C"/>
    <w:rsid w:val="00796511"/>
    <w:rsid w:val="00797A6B"/>
    <w:rsid w:val="00797E67"/>
    <w:rsid w:val="007A049D"/>
    <w:rsid w:val="007A44A0"/>
    <w:rsid w:val="007A47B9"/>
    <w:rsid w:val="007A7269"/>
    <w:rsid w:val="007A7725"/>
    <w:rsid w:val="007B0D86"/>
    <w:rsid w:val="007B0E0D"/>
    <w:rsid w:val="007B38EF"/>
    <w:rsid w:val="007B3C89"/>
    <w:rsid w:val="007B4133"/>
    <w:rsid w:val="007B4796"/>
    <w:rsid w:val="007B5C59"/>
    <w:rsid w:val="007C3483"/>
    <w:rsid w:val="007C5512"/>
    <w:rsid w:val="007C55ED"/>
    <w:rsid w:val="007C70C9"/>
    <w:rsid w:val="007D03AF"/>
    <w:rsid w:val="007D0984"/>
    <w:rsid w:val="007D1EEA"/>
    <w:rsid w:val="007D20BA"/>
    <w:rsid w:val="007D20F1"/>
    <w:rsid w:val="007D3814"/>
    <w:rsid w:val="007D48C2"/>
    <w:rsid w:val="007D5906"/>
    <w:rsid w:val="007D5CE4"/>
    <w:rsid w:val="007E09D1"/>
    <w:rsid w:val="007E0C14"/>
    <w:rsid w:val="007E26ED"/>
    <w:rsid w:val="007E5667"/>
    <w:rsid w:val="007E6DCC"/>
    <w:rsid w:val="007E7ABB"/>
    <w:rsid w:val="007E7E42"/>
    <w:rsid w:val="007F01D4"/>
    <w:rsid w:val="007F03B5"/>
    <w:rsid w:val="007F0EE3"/>
    <w:rsid w:val="007F2E3D"/>
    <w:rsid w:val="007F3517"/>
    <w:rsid w:val="007F7334"/>
    <w:rsid w:val="007F7DF1"/>
    <w:rsid w:val="00801E2E"/>
    <w:rsid w:val="00805860"/>
    <w:rsid w:val="00806A32"/>
    <w:rsid w:val="00806D93"/>
    <w:rsid w:val="008078A7"/>
    <w:rsid w:val="00807EA6"/>
    <w:rsid w:val="00811127"/>
    <w:rsid w:val="00811AC8"/>
    <w:rsid w:val="008130F0"/>
    <w:rsid w:val="0081442A"/>
    <w:rsid w:val="00815BE6"/>
    <w:rsid w:val="0081602A"/>
    <w:rsid w:val="00817CFC"/>
    <w:rsid w:val="008209D8"/>
    <w:rsid w:val="00820AF7"/>
    <w:rsid w:val="0082275D"/>
    <w:rsid w:val="0082462A"/>
    <w:rsid w:val="00826E0B"/>
    <w:rsid w:val="00833E4E"/>
    <w:rsid w:val="008347CB"/>
    <w:rsid w:val="00834C26"/>
    <w:rsid w:val="00842D23"/>
    <w:rsid w:val="008452A9"/>
    <w:rsid w:val="00845729"/>
    <w:rsid w:val="00850AD1"/>
    <w:rsid w:val="0085533F"/>
    <w:rsid w:val="00855E28"/>
    <w:rsid w:val="0085612E"/>
    <w:rsid w:val="00857033"/>
    <w:rsid w:val="00860BAC"/>
    <w:rsid w:val="00863031"/>
    <w:rsid w:val="0086522D"/>
    <w:rsid w:val="008679CA"/>
    <w:rsid w:val="00870311"/>
    <w:rsid w:val="00873B92"/>
    <w:rsid w:val="008753CF"/>
    <w:rsid w:val="00875D7F"/>
    <w:rsid w:val="00876C45"/>
    <w:rsid w:val="00876E9E"/>
    <w:rsid w:val="00877884"/>
    <w:rsid w:val="00881282"/>
    <w:rsid w:val="008847F4"/>
    <w:rsid w:val="00884EED"/>
    <w:rsid w:val="00887882"/>
    <w:rsid w:val="008942B0"/>
    <w:rsid w:val="00895EE7"/>
    <w:rsid w:val="008962EB"/>
    <w:rsid w:val="0089641D"/>
    <w:rsid w:val="008A18CF"/>
    <w:rsid w:val="008A1AA9"/>
    <w:rsid w:val="008A6250"/>
    <w:rsid w:val="008B1606"/>
    <w:rsid w:val="008B23FE"/>
    <w:rsid w:val="008B39F8"/>
    <w:rsid w:val="008B3FA0"/>
    <w:rsid w:val="008B40B0"/>
    <w:rsid w:val="008C09CE"/>
    <w:rsid w:val="008C1B13"/>
    <w:rsid w:val="008C24C3"/>
    <w:rsid w:val="008C3F93"/>
    <w:rsid w:val="008C45CE"/>
    <w:rsid w:val="008C6418"/>
    <w:rsid w:val="008C7458"/>
    <w:rsid w:val="008D0836"/>
    <w:rsid w:val="008D1D9C"/>
    <w:rsid w:val="008D2B65"/>
    <w:rsid w:val="008D36D0"/>
    <w:rsid w:val="008D421A"/>
    <w:rsid w:val="008D46D3"/>
    <w:rsid w:val="008D51A8"/>
    <w:rsid w:val="008D5FD8"/>
    <w:rsid w:val="008D7198"/>
    <w:rsid w:val="008D745C"/>
    <w:rsid w:val="008E1EBD"/>
    <w:rsid w:val="008E2AF2"/>
    <w:rsid w:val="008E4DBD"/>
    <w:rsid w:val="008E52C2"/>
    <w:rsid w:val="008E7741"/>
    <w:rsid w:val="008E7B95"/>
    <w:rsid w:val="008E7CB1"/>
    <w:rsid w:val="008E7FB2"/>
    <w:rsid w:val="008F519F"/>
    <w:rsid w:val="008F6A88"/>
    <w:rsid w:val="00901B6E"/>
    <w:rsid w:val="0090564E"/>
    <w:rsid w:val="009056D2"/>
    <w:rsid w:val="00907E6D"/>
    <w:rsid w:val="009105B8"/>
    <w:rsid w:val="00910E70"/>
    <w:rsid w:val="00910F0E"/>
    <w:rsid w:val="00911C1C"/>
    <w:rsid w:val="00920440"/>
    <w:rsid w:val="009206DB"/>
    <w:rsid w:val="00920D7A"/>
    <w:rsid w:val="00921621"/>
    <w:rsid w:val="00922F2A"/>
    <w:rsid w:val="009331A6"/>
    <w:rsid w:val="009348A2"/>
    <w:rsid w:val="00935C1D"/>
    <w:rsid w:val="00941F7D"/>
    <w:rsid w:val="0094302E"/>
    <w:rsid w:val="00945126"/>
    <w:rsid w:val="00945D2B"/>
    <w:rsid w:val="00946AE9"/>
    <w:rsid w:val="00950617"/>
    <w:rsid w:val="009512E1"/>
    <w:rsid w:val="00951481"/>
    <w:rsid w:val="009526EE"/>
    <w:rsid w:val="00953C1D"/>
    <w:rsid w:val="00956B67"/>
    <w:rsid w:val="00957959"/>
    <w:rsid w:val="00957A3C"/>
    <w:rsid w:val="00957CC3"/>
    <w:rsid w:val="00961E34"/>
    <w:rsid w:val="0096243D"/>
    <w:rsid w:val="0096579E"/>
    <w:rsid w:val="00965AA3"/>
    <w:rsid w:val="009705A7"/>
    <w:rsid w:val="00972292"/>
    <w:rsid w:val="00974702"/>
    <w:rsid w:val="00975DE4"/>
    <w:rsid w:val="0097656A"/>
    <w:rsid w:val="00977148"/>
    <w:rsid w:val="00981C43"/>
    <w:rsid w:val="009837DB"/>
    <w:rsid w:val="00983987"/>
    <w:rsid w:val="00984F59"/>
    <w:rsid w:val="00985BCD"/>
    <w:rsid w:val="009876A3"/>
    <w:rsid w:val="009917E0"/>
    <w:rsid w:val="00996C0E"/>
    <w:rsid w:val="00996C1F"/>
    <w:rsid w:val="00997C7B"/>
    <w:rsid w:val="009A08DC"/>
    <w:rsid w:val="009A616D"/>
    <w:rsid w:val="009A7873"/>
    <w:rsid w:val="009B17A8"/>
    <w:rsid w:val="009B18AE"/>
    <w:rsid w:val="009B2B08"/>
    <w:rsid w:val="009B3394"/>
    <w:rsid w:val="009B465E"/>
    <w:rsid w:val="009B668D"/>
    <w:rsid w:val="009B7C60"/>
    <w:rsid w:val="009B7E6C"/>
    <w:rsid w:val="009C2C07"/>
    <w:rsid w:val="009C4496"/>
    <w:rsid w:val="009C4A8C"/>
    <w:rsid w:val="009C4E9E"/>
    <w:rsid w:val="009C552D"/>
    <w:rsid w:val="009C576D"/>
    <w:rsid w:val="009C6359"/>
    <w:rsid w:val="009C769E"/>
    <w:rsid w:val="009C77B2"/>
    <w:rsid w:val="009D0C4A"/>
    <w:rsid w:val="009D16C6"/>
    <w:rsid w:val="009D2EDF"/>
    <w:rsid w:val="009D2F6E"/>
    <w:rsid w:val="009D43FD"/>
    <w:rsid w:val="009D6CC6"/>
    <w:rsid w:val="009D7413"/>
    <w:rsid w:val="009E17C5"/>
    <w:rsid w:val="009E1DAC"/>
    <w:rsid w:val="009E2B00"/>
    <w:rsid w:val="009E3850"/>
    <w:rsid w:val="009E4F74"/>
    <w:rsid w:val="009E5F7D"/>
    <w:rsid w:val="009E6144"/>
    <w:rsid w:val="009F7464"/>
    <w:rsid w:val="00A00180"/>
    <w:rsid w:val="00A015DC"/>
    <w:rsid w:val="00A022D7"/>
    <w:rsid w:val="00A044B8"/>
    <w:rsid w:val="00A06C1F"/>
    <w:rsid w:val="00A06ECD"/>
    <w:rsid w:val="00A107BF"/>
    <w:rsid w:val="00A13894"/>
    <w:rsid w:val="00A16877"/>
    <w:rsid w:val="00A20AE4"/>
    <w:rsid w:val="00A21C76"/>
    <w:rsid w:val="00A244E7"/>
    <w:rsid w:val="00A24617"/>
    <w:rsid w:val="00A26023"/>
    <w:rsid w:val="00A303F0"/>
    <w:rsid w:val="00A32186"/>
    <w:rsid w:val="00A32313"/>
    <w:rsid w:val="00A32F08"/>
    <w:rsid w:val="00A34DB1"/>
    <w:rsid w:val="00A35D24"/>
    <w:rsid w:val="00A374A5"/>
    <w:rsid w:val="00A422C2"/>
    <w:rsid w:val="00A4325D"/>
    <w:rsid w:val="00A441FA"/>
    <w:rsid w:val="00A44FA5"/>
    <w:rsid w:val="00A4526F"/>
    <w:rsid w:val="00A459CB"/>
    <w:rsid w:val="00A47740"/>
    <w:rsid w:val="00A50811"/>
    <w:rsid w:val="00A51DE1"/>
    <w:rsid w:val="00A53F4E"/>
    <w:rsid w:val="00A54C3D"/>
    <w:rsid w:val="00A557F2"/>
    <w:rsid w:val="00A559F0"/>
    <w:rsid w:val="00A57911"/>
    <w:rsid w:val="00A6058C"/>
    <w:rsid w:val="00A6151E"/>
    <w:rsid w:val="00A61934"/>
    <w:rsid w:val="00A64779"/>
    <w:rsid w:val="00A64B07"/>
    <w:rsid w:val="00A651A0"/>
    <w:rsid w:val="00A67C90"/>
    <w:rsid w:val="00A67F91"/>
    <w:rsid w:val="00A716FE"/>
    <w:rsid w:val="00A71858"/>
    <w:rsid w:val="00A738E3"/>
    <w:rsid w:val="00A73B32"/>
    <w:rsid w:val="00A748EC"/>
    <w:rsid w:val="00A7492F"/>
    <w:rsid w:val="00A75257"/>
    <w:rsid w:val="00A76B8C"/>
    <w:rsid w:val="00A80C8E"/>
    <w:rsid w:val="00A83C2E"/>
    <w:rsid w:val="00A87757"/>
    <w:rsid w:val="00A93E99"/>
    <w:rsid w:val="00A947FE"/>
    <w:rsid w:val="00A94DAF"/>
    <w:rsid w:val="00A95028"/>
    <w:rsid w:val="00A95CA0"/>
    <w:rsid w:val="00AA0529"/>
    <w:rsid w:val="00AA0973"/>
    <w:rsid w:val="00AA1013"/>
    <w:rsid w:val="00AA257E"/>
    <w:rsid w:val="00AA3D95"/>
    <w:rsid w:val="00AA4A3A"/>
    <w:rsid w:val="00AA68D4"/>
    <w:rsid w:val="00AB216C"/>
    <w:rsid w:val="00AB3B6C"/>
    <w:rsid w:val="00AB4C33"/>
    <w:rsid w:val="00AC071D"/>
    <w:rsid w:val="00AC2015"/>
    <w:rsid w:val="00AC24BB"/>
    <w:rsid w:val="00AC2D98"/>
    <w:rsid w:val="00AC477F"/>
    <w:rsid w:val="00AC5AA2"/>
    <w:rsid w:val="00AC5ABD"/>
    <w:rsid w:val="00AD15FB"/>
    <w:rsid w:val="00AD298C"/>
    <w:rsid w:val="00AD694A"/>
    <w:rsid w:val="00AD78D0"/>
    <w:rsid w:val="00AE2774"/>
    <w:rsid w:val="00AE285C"/>
    <w:rsid w:val="00AE426E"/>
    <w:rsid w:val="00AE5238"/>
    <w:rsid w:val="00AE6614"/>
    <w:rsid w:val="00AE7CDB"/>
    <w:rsid w:val="00AE7E33"/>
    <w:rsid w:val="00AF148E"/>
    <w:rsid w:val="00AF1845"/>
    <w:rsid w:val="00AF2E50"/>
    <w:rsid w:val="00AF4DD6"/>
    <w:rsid w:val="00AF5323"/>
    <w:rsid w:val="00B01DAF"/>
    <w:rsid w:val="00B05CD0"/>
    <w:rsid w:val="00B05FEA"/>
    <w:rsid w:val="00B0614A"/>
    <w:rsid w:val="00B06280"/>
    <w:rsid w:val="00B07072"/>
    <w:rsid w:val="00B07ACF"/>
    <w:rsid w:val="00B11D5C"/>
    <w:rsid w:val="00B12345"/>
    <w:rsid w:val="00B16449"/>
    <w:rsid w:val="00B20C4B"/>
    <w:rsid w:val="00B22757"/>
    <w:rsid w:val="00B253D0"/>
    <w:rsid w:val="00B2769B"/>
    <w:rsid w:val="00B315D2"/>
    <w:rsid w:val="00B31718"/>
    <w:rsid w:val="00B317D9"/>
    <w:rsid w:val="00B318EE"/>
    <w:rsid w:val="00B33FBD"/>
    <w:rsid w:val="00B375AC"/>
    <w:rsid w:val="00B45D42"/>
    <w:rsid w:val="00B46447"/>
    <w:rsid w:val="00B47095"/>
    <w:rsid w:val="00B524D5"/>
    <w:rsid w:val="00B52F64"/>
    <w:rsid w:val="00B56FC3"/>
    <w:rsid w:val="00B576A5"/>
    <w:rsid w:val="00B578E5"/>
    <w:rsid w:val="00B6136A"/>
    <w:rsid w:val="00B65B29"/>
    <w:rsid w:val="00B670AE"/>
    <w:rsid w:val="00B740F0"/>
    <w:rsid w:val="00B75DFA"/>
    <w:rsid w:val="00B8294A"/>
    <w:rsid w:val="00B8574F"/>
    <w:rsid w:val="00B94218"/>
    <w:rsid w:val="00B96228"/>
    <w:rsid w:val="00B96B0E"/>
    <w:rsid w:val="00B97466"/>
    <w:rsid w:val="00B979CD"/>
    <w:rsid w:val="00BA4FE4"/>
    <w:rsid w:val="00BB3118"/>
    <w:rsid w:val="00BB7650"/>
    <w:rsid w:val="00BB7A37"/>
    <w:rsid w:val="00BB7A85"/>
    <w:rsid w:val="00BC0147"/>
    <w:rsid w:val="00BC0E11"/>
    <w:rsid w:val="00BC2004"/>
    <w:rsid w:val="00BC3CAE"/>
    <w:rsid w:val="00BC5A8B"/>
    <w:rsid w:val="00BC77B5"/>
    <w:rsid w:val="00BD0B21"/>
    <w:rsid w:val="00BD2034"/>
    <w:rsid w:val="00BD24E0"/>
    <w:rsid w:val="00BD3883"/>
    <w:rsid w:val="00BD3D63"/>
    <w:rsid w:val="00BD3FCA"/>
    <w:rsid w:val="00BD527B"/>
    <w:rsid w:val="00BD549F"/>
    <w:rsid w:val="00BD732F"/>
    <w:rsid w:val="00BE0FF3"/>
    <w:rsid w:val="00BE1CF1"/>
    <w:rsid w:val="00BE32B7"/>
    <w:rsid w:val="00BE3C8A"/>
    <w:rsid w:val="00BF1F04"/>
    <w:rsid w:val="00BF22DB"/>
    <w:rsid w:val="00BF3107"/>
    <w:rsid w:val="00BF46AD"/>
    <w:rsid w:val="00BF4C99"/>
    <w:rsid w:val="00BF552E"/>
    <w:rsid w:val="00BF64C2"/>
    <w:rsid w:val="00BF6595"/>
    <w:rsid w:val="00BF7518"/>
    <w:rsid w:val="00C00093"/>
    <w:rsid w:val="00C00347"/>
    <w:rsid w:val="00C0254C"/>
    <w:rsid w:val="00C036E2"/>
    <w:rsid w:val="00C03A0E"/>
    <w:rsid w:val="00C0680B"/>
    <w:rsid w:val="00C0790B"/>
    <w:rsid w:val="00C1046D"/>
    <w:rsid w:val="00C10A33"/>
    <w:rsid w:val="00C11872"/>
    <w:rsid w:val="00C1271A"/>
    <w:rsid w:val="00C14851"/>
    <w:rsid w:val="00C14A1E"/>
    <w:rsid w:val="00C14E39"/>
    <w:rsid w:val="00C151AF"/>
    <w:rsid w:val="00C16845"/>
    <w:rsid w:val="00C16937"/>
    <w:rsid w:val="00C2014F"/>
    <w:rsid w:val="00C212A7"/>
    <w:rsid w:val="00C213A9"/>
    <w:rsid w:val="00C22504"/>
    <w:rsid w:val="00C227B9"/>
    <w:rsid w:val="00C249D9"/>
    <w:rsid w:val="00C2775D"/>
    <w:rsid w:val="00C33C10"/>
    <w:rsid w:val="00C34259"/>
    <w:rsid w:val="00C34A95"/>
    <w:rsid w:val="00C3525A"/>
    <w:rsid w:val="00C4181E"/>
    <w:rsid w:val="00C45BCA"/>
    <w:rsid w:val="00C4791E"/>
    <w:rsid w:val="00C5062A"/>
    <w:rsid w:val="00C51B89"/>
    <w:rsid w:val="00C51D30"/>
    <w:rsid w:val="00C5267F"/>
    <w:rsid w:val="00C526BA"/>
    <w:rsid w:val="00C528E1"/>
    <w:rsid w:val="00C52F31"/>
    <w:rsid w:val="00C53827"/>
    <w:rsid w:val="00C5473D"/>
    <w:rsid w:val="00C62438"/>
    <w:rsid w:val="00C629F1"/>
    <w:rsid w:val="00C63591"/>
    <w:rsid w:val="00C65D1F"/>
    <w:rsid w:val="00C660FD"/>
    <w:rsid w:val="00C67CA9"/>
    <w:rsid w:val="00C71040"/>
    <w:rsid w:val="00C74E7C"/>
    <w:rsid w:val="00C7694C"/>
    <w:rsid w:val="00C81EA7"/>
    <w:rsid w:val="00C825AE"/>
    <w:rsid w:val="00C85132"/>
    <w:rsid w:val="00C855E1"/>
    <w:rsid w:val="00C85FA6"/>
    <w:rsid w:val="00C87350"/>
    <w:rsid w:val="00C90AE3"/>
    <w:rsid w:val="00C915B1"/>
    <w:rsid w:val="00C932BC"/>
    <w:rsid w:val="00C93F02"/>
    <w:rsid w:val="00C97120"/>
    <w:rsid w:val="00C9719F"/>
    <w:rsid w:val="00CA00F3"/>
    <w:rsid w:val="00CA053B"/>
    <w:rsid w:val="00CA134A"/>
    <w:rsid w:val="00CA3ACC"/>
    <w:rsid w:val="00CA443E"/>
    <w:rsid w:val="00CA69B2"/>
    <w:rsid w:val="00CB16A4"/>
    <w:rsid w:val="00CB36AA"/>
    <w:rsid w:val="00CB515A"/>
    <w:rsid w:val="00CB5F0D"/>
    <w:rsid w:val="00CB7A18"/>
    <w:rsid w:val="00CB7E44"/>
    <w:rsid w:val="00CC319D"/>
    <w:rsid w:val="00CC3A1F"/>
    <w:rsid w:val="00CC5BB2"/>
    <w:rsid w:val="00CD10CC"/>
    <w:rsid w:val="00CD2D85"/>
    <w:rsid w:val="00CD3669"/>
    <w:rsid w:val="00CD3919"/>
    <w:rsid w:val="00CE324C"/>
    <w:rsid w:val="00CE33F7"/>
    <w:rsid w:val="00CE3F02"/>
    <w:rsid w:val="00CE4FE8"/>
    <w:rsid w:val="00CE70D3"/>
    <w:rsid w:val="00CE78AB"/>
    <w:rsid w:val="00CE7E1B"/>
    <w:rsid w:val="00CF15CE"/>
    <w:rsid w:val="00CF3584"/>
    <w:rsid w:val="00CF5FA5"/>
    <w:rsid w:val="00CF76EF"/>
    <w:rsid w:val="00D003DA"/>
    <w:rsid w:val="00D00A02"/>
    <w:rsid w:val="00D03450"/>
    <w:rsid w:val="00D03582"/>
    <w:rsid w:val="00D05260"/>
    <w:rsid w:val="00D113A4"/>
    <w:rsid w:val="00D113DD"/>
    <w:rsid w:val="00D12FC5"/>
    <w:rsid w:val="00D1308E"/>
    <w:rsid w:val="00D143D9"/>
    <w:rsid w:val="00D14F38"/>
    <w:rsid w:val="00D1676A"/>
    <w:rsid w:val="00D21BD6"/>
    <w:rsid w:val="00D2478E"/>
    <w:rsid w:val="00D30255"/>
    <w:rsid w:val="00D30A31"/>
    <w:rsid w:val="00D30AC6"/>
    <w:rsid w:val="00D331B5"/>
    <w:rsid w:val="00D33C61"/>
    <w:rsid w:val="00D35918"/>
    <w:rsid w:val="00D35C1E"/>
    <w:rsid w:val="00D3776A"/>
    <w:rsid w:val="00D37C23"/>
    <w:rsid w:val="00D40B00"/>
    <w:rsid w:val="00D4127B"/>
    <w:rsid w:val="00D42B8C"/>
    <w:rsid w:val="00D45E7A"/>
    <w:rsid w:val="00D47C37"/>
    <w:rsid w:val="00D514D8"/>
    <w:rsid w:val="00D523A5"/>
    <w:rsid w:val="00D573CE"/>
    <w:rsid w:val="00D623DF"/>
    <w:rsid w:val="00D62DB5"/>
    <w:rsid w:val="00D63E7A"/>
    <w:rsid w:val="00D720ED"/>
    <w:rsid w:val="00D76155"/>
    <w:rsid w:val="00D76FEF"/>
    <w:rsid w:val="00D77A2C"/>
    <w:rsid w:val="00D81F41"/>
    <w:rsid w:val="00D821DC"/>
    <w:rsid w:val="00D8220C"/>
    <w:rsid w:val="00D82A8E"/>
    <w:rsid w:val="00D836A3"/>
    <w:rsid w:val="00D87362"/>
    <w:rsid w:val="00D90696"/>
    <w:rsid w:val="00D90B8F"/>
    <w:rsid w:val="00D91898"/>
    <w:rsid w:val="00D92FCC"/>
    <w:rsid w:val="00D93264"/>
    <w:rsid w:val="00D94906"/>
    <w:rsid w:val="00D94D61"/>
    <w:rsid w:val="00D965E0"/>
    <w:rsid w:val="00D97ECF"/>
    <w:rsid w:val="00DA08CA"/>
    <w:rsid w:val="00DA0A5F"/>
    <w:rsid w:val="00DA26EC"/>
    <w:rsid w:val="00DA344E"/>
    <w:rsid w:val="00DA3A4D"/>
    <w:rsid w:val="00DA3AFE"/>
    <w:rsid w:val="00DA4FAE"/>
    <w:rsid w:val="00DA5639"/>
    <w:rsid w:val="00DB1915"/>
    <w:rsid w:val="00DB2042"/>
    <w:rsid w:val="00DB2F9F"/>
    <w:rsid w:val="00DB5241"/>
    <w:rsid w:val="00DB63CC"/>
    <w:rsid w:val="00DB6CDA"/>
    <w:rsid w:val="00DC1C82"/>
    <w:rsid w:val="00DC241F"/>
    <w:rsid w:val="00DC291C"/>
    <w:rsid w:val="00DC2C52"/>
    <w:rsid w:val="00DC4B5A"/>
    <w:rsid w:val="00DC57CA"/>
    <w:rsid w:val="00DD022E"/>
    <w:rsid w:val="00DD0D4E"/>
    <w:rsid w:val="00DD59E3"/>
    <w:rsid w:val="00DE215B"/>
    <w:rsid w:val="00DE216C"/>
    <w:rsid w:val="00DF066C"/>
    <w:rsid w:val="00DF101D"/>
    <w:rsid w:val="00DF4120"/>
    <w:rsid w:val="00DF4494"/>
    <w:rsid w:val="00DF4596"/>
    <w:rsid w:val="00DF4D48"/>
    <w:rsid w:val="00DF4F7B"/>
    <w:rsid w:val="00E00C8A"/>
    <w:rsid w:val="00E028A9"/>
    <w:rsid w:val="00E07EE8"/>
    <w:rsid w:val="00E11703"/>
    <w:rsid w:val="00E14581"/>
    <w:rsid w:val="00E15A61"/>
    <w:rsid w:val="00E15EEE"/>
    <w:rsid w:val="00E17233"/>
    <w:rsid w:val="00E234B5"/>
    <w:rsid w:val="00E235B1"/>
    <w:rsid w:val="00E30B85"/>
    <w:rsid w:val="00E400A2"/>
    <w:rsid w:val="00E43607"/>
    <w:rsid w:val="00E44031"/>
    <w:rsid w:val="00E45934"/>
    <w:rsid w:val="00E459D3"/>
    <w:rsid w:val="00E468FF"/>
    <w:rsid w:val="00E46D72"/>
    <w:rsid w:val="00E4795D"/>
    <w:rsid w:val="00E4799F"/>
    <w:rsid w:val="00E5064B"/>
    <w:rsid w:val="00E50D76"/>
    <w:rsid w:val="00E5343C"/>
    <w:rsid w:val="00E55986"/>
    <w:rsid w:val="00E57B5E"/>
    <w:rsid w:val="00E6253D"/>
    <w:rsid w:val="00E65C7A"/>
    <w:rsid w:val="00E65E92"/>
    <w:rsid w:val="00E66B6D"/>
    <w:rsid w:val="00E67430"/>
    <w:rsid w:val="00E73D40"/>
    <w:rsid w:val="00E755A5"/>
    <w:rsid w:val="00E776F1"/>
    <w:rsid w:val="00E81295"/>
    <w:rsid w:val="00E81567"/>
    <w:rsid w:val="00E85887"/>
    <w:rsid w:val="00E860B5"/>
    <w:rsid w:val="00E901D1"/>
    <w:rsid w:val="00E90C4D"/>
    <w:rsid w:val="00E977F6"/>
    <w:rsid w:val="00EA4318"/>
    <w:rsid w:val="00EA47B0"/>
    <w:rsid w:val="00EB0D54"/>
    <w:rsid w:val="00EB198C"/>
    <w:rsid w:val="00EB44AB"/>
    <w:rsid w:val="00EB47D0"/>
    <w:rsid w:val="00EB6B8E"/>
    <w:rsid w:val="00EC0CF1"/>
    <w:rsid w:val="00EC21AD"/>
    <w:rsid w:val="00EC5F62"/>
    <w:rsid w:val="00EC7BC3"/>
    <w:rsid w:val="00ED0588"/>
    <w:rsid w:val="00ED0BD4"/>
    <w:rsid w:val="00ED0F8B"/>
    <w:rsid w:val="00ED25E8"/>
    <w:rsid w:val="00ED3135"/>
    <w:rsid w:val="00ED4F9F"/>
    <w:rsid w:val="00ED587A"/>
    <w:rsid w:val="00EE09B5"/>
    <w:rsid w:val="00EE1D2E"/>
    <w:rsid w:val="00EE2B46"/>
    <w:rsid w:val="00EE3F92"/>
    <w:rsid w:val="00EE67FE"/>
    <w:rsid w:val="00EE7E1D"/>
    <w:rsid w:val="00EF1FC6"/>
    <w:rsid w:val="00EF1FC9"/>
    <w:rsid w:val="00EF2EEE"/>
    <w:rsid w:val="00EF5339"/>
    <w:rsid w:val="00EF58A1"/>
    <w:rsid w:val="00EF594E"/>
    <w:rsid w:val="00EF6246"/>
    <w:rsid w:val="00F01579"/>
    <w:rsid w:val="00F034B4"/>
    <w:rsid w:val="00F04FAE"/>
    <w:rsid w:val="00F06D51"/>
    <w:rsid w:val="00F115FF"/>
    <w:rsid w:val="00F154A4"/>
    <w:rsid w:val="00F15610"/>
    <w:rsid w:val="00F1643C"/>
    <w:rsid w:val="00F16D53"/>
    <w:rsid w:val="00F2235A"/>
    <w:rsid w:val="00F239BC"/>
    <w:rsid w:val="00F2407E"/>
    <w:rsid w:val="00F24ABA"/>
    <w:rsid w:val="00F2549F"/>
    <w:rsid w:val="00F2575A"/>
    <w:rsid w:val="00F25E00"/>
    <w:rsid w:val="00F277F9"/>
    <w:rsid w:val="00F32E09"/>
    <w:rsid w:val="00F33C3B"/>
    <w:rsid w:val="00F348D2"/>
    <w:rsid w:val="00F352F2"/>
    <w:rsid w:val="00F35600"/>
    <w:rsid w:val="00F36033"/>
    <w:rsid w:val="00F367A4"/>
    <w:rsid w:val="00F43A21"/>
    <w:rsid w:val="00F46152"/>
    <w:rsid w:val="00F472A1"/>
    <w:rsid w:val="00F548E4"/>
    <w:rsid w:val="00F55287"/>
    <w:rsid w:val="00F56636"/>
    <w:rsid w:val="00F567DA"/>
    <w:rsid w:val="00F5786D"/>
    <w:rsid w:val="00F57DF2"/>
    <w:rsid w:val="00F60208"/>
    <w:rsid w:val="00F6271A"/>
    <w:rsid w:val="00F637BE"/>
    <w:rsid w:val="00F70355"/>
    <w:rsid w:val="00F703CB"/>
    <w:rsid w:val="00F705B7"/>
    <w:rsid w:val="00F73583"/>
    <w:rsid w:val="00F73890"/>
    <w:rsid w:val="00F773F0"/>
    <w:rsid w:val="00F826A8"/>
    <w:rsid w:val="00F84AC4"/>
    <w:rsid w:val="00F86E2F"/>
    <w:rsid w:val="00F87C29"/>
    <w:rsid w:val="00F934B2"/>
    <w:rsid w:val="00F9393A"/>
    <w:rsid w:val="00F9559B"/>
    <w:rsid w:val="00F956AD"/>
    <w:rsid w:val="00FA0076"/>
    <w:rsid w:val="00FA00D2"/>
    <w:rsid w:val="00FA105E"/>
    <w:rsid w:val="00FA10EC"/>
    <w:rsid w:val="00FA1C2E"/>
    <w:rsid w:val="00FB05DE"/>
    <w:rsid w:val="00FB24D2"/>
    <w:rsid w:val="00FB25CC"/>
    <w:rsid w:val="00FB5128"/>
    <w:rsid w:val="00FB56C9"/>
    <w:rsid w:val="00FB5BD8"/>
    <w:rsid w:val="00FC01F8"/>
    <w:rsid w:val="00FC177B"/>
    <w:rsid w:val="00FC1C03"/>
    <w:rsid w:val="00FC2BA2"/>
    <w:rsid w:val="00FD2C75"/>
    <w:rsid w:val="00FD42EE"/>
    <w:rsid w:val="00FD483C"/>
    <w:rsid w:val="00FD517F"/>
    <w:rsid w:val="00FD5DF0"/>
    <w:rsid w:val="00FD7768"/>
    <w:rsid w:val="00FE32DA"/>
    <w:rsid w:val="00FE3653"/>
    <w:rsid w:val="00FE4151"/>
    <w:rsid w:val="00FF0CEA"/>
    <w:rsid w:val="00FF2DDE"/>
    <w:rsid w:val="00FF3497"/>
    <w:rsid w:val="00FF4701"/>
    <w:rsid w:val="00FF5F70"/>
    <w:rsid w:val="00FF72FB"/>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7DB8E7"/>
  <w15:docId w15:val="{76E5A3D7-DC99-41FF-BD87-D76BB2A24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iPriority="99" w:unhideWhenUsed="1" w:qFormat="1"/>
    <w:lsdException w:name="heading 6" w:semiHidden="1" w:uiPriority="9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uiPriority="99"/>
    <w:lsdException w:name="List Bullet" w:uiPriority="99"/>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uiPriority="99"/>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
    <w:name w:val="Normal"/>
    <w:qFormat/>
    <w:rsid w:val="00042C8E"/>
    <w:pPr>
      <w:spacing w:after="120"/>
      <w:jc w:val="both"/>
    </w:pPr>
    <w:rPr>
      <w:rFonts w:ascii="Garamond" w:hAnsi="Garamond" w:cs="Arial"/>
      <w:sz w:val="24"/>
      <w:szCs w:val="24"/>
    </w:rPr>
  </w:style>
  <w:style w:type="paragraph" w:styleId="Cmsor1">
    <w:name w:val="heading 1"/>
    <w:aliases w:val="Numbered - 1,intoduction"/>
    <w:basedOn w:val="Norml"/>
    <w:next w:val="Norml"/>
    <w:link w:val="Cmsor1Char"/>
    <w:autoRedefine/>
    <w:uiPriority w:val="99"/>
    <w:qFormat/>
    <w:rsid w:val="00620D3E"/>
    <w:pPr>
      <w:keepNext/>
      <w:numPr>
        <w:numId w:val="1"/>
      </w:numPr>
      <w:spacing w:before="480" w:after="480"/>
      <w:outlineLvl w:val="0"/>
    </w:pPr>
    <w:rPr>
      <w:b/>
      <w:bCs/>
      <w:kern w:val="32"/>
      <w:sz w:val="40"/>
      <w:szCs w:val="32"/>
    </w:rPr>
  </w:style>
  <w:style w:type="paragraph" w:styleId="Cmsor2">
    <w:name w:val="heading 2"/>
    <w:aliases w:val="Numbered - 2,Fejléc 2,Címsor Kísérőlevél II belül felsorolás"/>
    <w:basedOn w:val="Norml"/>
    <w:next w:val="Norml"/>
    <w:link w:val="Cmsor2Char"/>
    <w:autoRedefine/>
    <w:uiPriority w:val="99"/>
    <w:qFormat/>
    <w:rsid w:val="00D93264"/>
    <w:pPr>
      <w:keepNext/>
      <w:numPr>
        <w:ilvl w:val="1"/>
        <w:numId w:val="1"/>
      </w:numPr>
      <w:spacing w:before="240" w:after="240"/>
      <w:outlineLvl w:val="1"/>
    </w:pPr>
    <w:rPr>
      <w:b/>
      <w:bCs/>
      <w:iCs/>
      <w:sz w:val="32"/>
      <w:szCs w:val="28"/>
    </w:rPr>
  </w:style>
  <w:style w:type="paragraph" w:styleId="Cmsor3">
    <w:name w:val="heading 3"/>
    <w:aliases w:val="Numbered - 3"/>
    <w:basedOn w:val="Norml"/>
    <w:next w:val="Norml"/>
    <w:link w:val="Cmsor3Char"/>
    <w:autoRedefine/>
    <w:uiPriority w:val="99"/>
    <w:qFormat/>
    <w:rsid w:val="00E81567"/>
    <w:pPr>
      <w:keepNext/>
      <w:numPr>
        <w:ilvl w:val="2"/>
        <w:numId w:val="1"/>
      </w:numPr>
      <w:spacing w:before="240"/>
      <w:outlineLvl w:val="2"/>
    </w:pPr>
    <w:rPr>
      <w:b/>
      <w:bCs/>
      <w:szCs w:val="26"/>
    </w:rPr>
  </w:style>
  <w:style w:type="paragraph" w:styleId="Cmsor4">
    <w:name w:val="heading 4"/>
    <w:basedOn w:val="Norml"/>
    <w:next w:val="Norml"/>
    <w:link w:val="Cmsor4Char"/>
    <w:uiPriority w:val="99"/>
    <w:qFormat/>
    <w:rsid w:val="00623AC2"/>
    <w:pPr>
      <w:keepNext/>
      <w:numPr>
        <w:ilvl w:val="3"/>
        <w:numId w:val="1"/>
      </w:numPr>
      <w:spacing w:before="120"/>
      <w:outlineLvl w:val="3"/>
    </w:pPr>
    <w:rPr>
      <w:rFonts w:cs="Times New Roman"/>
      <w:bCs/>
      <w:i/>
      <w:szCs w:val="28"/>
    </w:rPr>
  </w:style>
  <w:style w:type="paragraph" w:styleId="Cmsor5">
    <w:name w:val="heading 5"/>
    <w:basedOn w:val="Norml"/>
    <w:next w:val="Norml"/>
    <w:link w:val="Cmsor5Char"/>
    <w:autoRedefine/>
    <w:uiPriority w:val="99"/>
    <w:qFormat/>
    <w:rsid w:val="00EE2B46"/>
    <w:pPr>
      <w:numPr>
        <w:ilvl w:val="4"/>
        <w:numId w:val="1"/>
      </w:numPr>
      <w:spacing w:before="120"/>
      <w:outlineLvl w:val="4"/>
    </w:pPr>
    <w:rPr>
      <w:bCs/>
      <w:i/>
      <w:iCs/>
      <w:szCs w:val="26"/>
    </w:rPr>
  </w:style>
  <w:style w:type="paragraph" w:styleId="Cmsor6">
    <w:name w:val="heading 6"/>
    <w:basedOn w:val="Norml"/>
    <w:next w:val="Norml"/>
    <w:link w:val="Cmsor6Char"/>
    <w:uiPriority w:val="99"/>
    <w:qFormat/>
    <w:rsid w:val="00172A3C"/>
    <w:pPr>
      <w:numPr>
        <w:ilvl w:val="5"/>
        <w:numId w:val="1"/>
      </w:numPr>
      <w:spacing w:before="240" w:after="60"/>
      <w:outlineLvl w:val="5"/>
    </w:pPr>
    <w:rPr>
      <w:rFonts w:ascii="Times New Roman" w:hAnsi="Times New Roman" w:cs="Times New Roman"/>
      <w:b/>
      <w:bCs/>
      <w:szCs w:val="22"/>
    </w:rPr>
  </w:style>
  <w:style w:type="paragraph" w:styleId="Cmsor7">
    <w:name w:val="heading 7"/>
    <w:basedOn w:val="Norml"/>
    <w:next w:val="Norml"/>
    <w:link w:val="Cmsor7Char"/>
    <w:uiPriority w:val="9"/>
    <w:qFormat/>
    <w:rsid w:val="00172A3C"/>
    <w:pPr>
      <w:numPr>
        <w:ilvl w:val="6"/>
        <w:numId w:val="1"/>
      </w:numPr>
      <w:spacing w:before="240" w:after="60"/>
      <w:outlineLvl w:val="6"/>
    </w:pPr>
    <w:rPr>
      <w:rFonts w:ascii="Times New Roman" w:hAnsi="Times New Roman" w:cs="Times New Roman"/>
    </w:rPr>
  </w:style>
  <w:style w:type="paragraph" w:styleId="Cmsor8">
    <w:name w:val="heading 8"/>
    <w:basedOn w:val="Norml"/>
    <w:next w:val="Norml"/>
    <w:link w:val="Cmsor8Char"/>
    <w:uiPriority w:val="9"/>
    <w:qFormat/>
    <w:rsid w:val="00172A3C"/>
    <w:pPr>
      <w:numPr>
        <w:ilvl w:val="7"/>
        <w:numId w:val="1"/>
      </w:numPr>
      <w:spacing w:before="240" w:after="60"/>
      <w:outlineLvl w:val="7"/>
    </w:pPr>
    <w:rPr>
      <w:rFonts w:ascii="Times New Roman" w:hAnsi="Times New Roman" w:cs="Times New Roman"/>
      <w:i/>
      <w:iCs/>
    </w:rPr>
  </w:style>
  <w:style w:type="paragraph" w:styleId="Cmsor9">
    <w:name w:val="heading 9"/>
    <w:basedOn w:val="Norml"/>
    <w:next w:val="Norml"/>
    <w:link w:val="Cmsor9Char"/>
    <w:uiPriority w:val="9"/>
    <w:qFormat/>
    <w:rsid w:val="00172A3C"/>
    <w:pPr>
      <w:numPr>
        <w:ilvl w:val="8"/>
        <w:numId w:val="1"/>
      </w:numPr>
      <w:spacing w:before="240" w:after="60"/>
      <w:outlineLvl w:val="8"/>
    </w:pPr>
    <w:rPr>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StlusArial10pt">
    <w:name w:val="Stílus Arial 10 pt"/>
    <w:rsid w:val="00285E6A"/>
    <w:rPr>
      <w:rFonts w:ascii="Arial" w:hAnsi="Arial"/>
      <w:sz w:val="20"/>
    </w:rPr>
  </w:style>
  <w:style w:type="paragraph" w:styleId="Lbjegyzetszveg">
    <w:name w:val="footnote text"/>
    <w:aliases w:val="Footnote,Footnote Text Char,Footnote Char,Char1 Char1,Char1 Char Char1,Char1 Char Char Char,Lábjegyzetszöveg Char Char Char,Lábjegyzetszöveg Char1 Char,Lábjegyzetszöveg Char1 Char Char Char1 Char"/>
    <w:basedOn w:val="Norml"/>
    <w:link w:val="LbjegyzetszvegChar"/>
    <w:autoRedefine/>
    <w:uiPriority w:val="99"/>
    <w:rsid w:val="00A95028"/>
    <w:pPr>
      <w:spacing w:after="0"/>
    </w:pPr>
    <w:rPr>
      <w:rFonts w:cs="Times New Roman"/>
      <w:sz w:val="20"/>
      <w:szCs w:val="20"/>
    </w:rPr>
  </w:style>
  <w:style w:type="paragraph" w:styleId="Kpalrs">
    <w:name w:val="caption"/>
    <w:basedOn w:val="Norml"/>
    <w:next w:val="Norml"/>
    <w:link w:val="KpalrsChar"/>
    <w:autoRedefine/>
    <w:qFormat/>
    <w:rsid w:val="00815BE6"/>
    <w:pPr>
      <w:spacing w:before="120" w:after="240"/>
      <w:jc w:val="center"/>
    </w:pPr>
    <w:rPr>
      <w:b/>
      <w:bCs/>
      <w:noProof/>
      <w:sz w:val="22"/>
      <w:szCs w:val="20"/>
    </w:rPr>
  </w:style>
  <w:style w:type="table" w:styleId="Rcsostblzat">
    <w:name w:val="Table Grid"/>
    <w:basedOn w:val="Normltblzat"/>
    <w:rsid w:val="00715C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lb">
    <w:name w:val="footer"/>
    <w:basedOn w:val="Norml"/>
    <w:link w:val="llbChar"/>
    <w:uiPriority w:val="99"/>
    <w:rsid w:val="00106C2B"/>
    <w:pPr>
      <w:tabs>
        <w:tab w:val="center" w:pos="4536"/>
        <w:tab w:val="right" w:pos="9072"/>
      </w:tabs>
    </w:pPr>
  </w:style>
  <w:style w:type="character" w:styleId="Oldalszm">
    <w:name w:val="page number"/>
    <w:basedOn w:val="Bekezdsalapbettpusa"/>
    <w:rsid w:val="00106C2B"/>
  </w:style>
  <w:style w:type="paragraph" w:styleId="lfej">
    <w:name w:val="header"/>
    <w:basedOn w:val="Norml"/>
    <w:link w:val="lfejChar"/>
    <w:uiPriority w:val="99"/>
    <w:rsid w:val="00106C2B"/>
    <w:pPr>
      <w:tabs>
        <w:tab w:val="center" w:pos="4536"/>
        <w:tab w:val="right" w:pos="9072"/>
      </w:tabs>
    </w:pPr>
  </w:style>
  <w:style w:type="paragraph" w:customStyle="1" w:styleId="StlusKpalrsUtna0ptSorkzszimpla">
    <w:name w:val="Stílus Képaláírás + Utána:  0 pt Sorköz:  szimpla"/>
    <w:basedOn w:val="Kpalrs"/>
    <w:rsid w:val="0011774F"/>
    <w:pPr>
      <w:keepNext/>
      <w:spacing w:after="0"/>
    </w:pPr>
    <w:rPr>
      <w:rFonts w:cs="Times New Roman"/>
    </w:rPr>
  </w:style>
  <w:style w:type="character" w:styleId="Lbjegyzet-hivatkozs">
    <w:name w:val="footnote reference"/>
    <w:aliases w:val="Footnote symbol,BVI fnr"/>
    <w:rsid w:val="004B3280"/>
    <w:rPr>
      <w:vertAlign w:val="superscript"/>
    </w:rPr>
  </w:style>
  <w:style w:type="paragraph" w:customStyle="1" w:styleId="StlusKpalrs11pt">
    <w:name w:val="Stílus Képaláírás + 11 pt"/>
    <w:basedOn w:val="Kpalrs"/>
    <w:link w:val="StlusKpalrs11ptChar"/>
    <w:autoRedefine/>
    <w:rsid w:val="00691440"/>
  </w:style>
  <w:style w:type="character" w:customStyle="1" w:styleId="KpalrsChar">
    <w:name w:val="Képaláírás Char"/>
    <w:link w:val="Kpalrs"/>
    <w:rsid w:val="00815BE6"/>
    <w:rPr>
      <w:rFonts w:ascii="Garamond" w:hAnsi="Garamond" w:cs="Arial"/>
      <w:b/>
      <w:bCs/>
      <w:noProof/>
      <w:sz w:val="22"/>
    </w:rPr>
  </w:style>
  <w:style w:type="character" w:customStyle="1" w:styleId="StlusKpalrs11ptChar">
    <w:name w:val="Stílus Képaláírás + 11 pt Char"/>
    <w:link w:val="StlusKpalrs11pt"/>
    <w:rsid w:val="00691440"/>
    <w:rPr>
      <w:rFonts w:ascii="Arial" w:hAnsi="Arial" w:cs="Arial"/>
      <w:b/>
      <w:bCs/>
      <w:sz w:val="22"/>
      <w:lang w:val="hu-HU" w:eastAsia="hu-HU" w:bidi="ar-SA"/>
    </w:rPr>
  </w:style>
  <w:style w:type="paragraph" w:styleId="Buborkszveg">
    <w:name w:val="Balloon Text"/>
    <w:basedOn w:val="Norml"/>
    <w:link w:val="BuborkszvegChar"/>
    <w:uiPriority w:val="99"/>
    <w:semiHidden/>
    <w:rsid w:val="001D52EB"/>
    <w:rPr>
      <w:rFonts w:ascii="Tahoma" w:hAnsi="Tahoma" w:cs="Tahoma"/>
      <w:sz w:val="16"/>
      <w:szCs w:val="16"/>
    </w:rPr>
  </w:style>
  <w:style w:type="paragraph" w:styleId="TJ1">
    <w:name w:val="toc 1"/>
    <w:basedOn w:val="Norml"/>
    <w:next w:val="Norml"/>
    <w:autoRedefine/>
    <w:uiPriority w:val="39"/>
    <w:rsid w:val="00B46447"/>
    <w:pPr>
      <w:tabs>
        <w:tab w:val="left" w:pos="480"/>
        <w:tab w:val="right" w:leader="dot" w:pos="9062"/>
      </w:tabs>
    </w:pPr>
    <w:rPr>
      <w:b/>
      <w:noProof/>
      <w:sz w:val="28"/>
    </w:rPr>
  </w:style>
  <w:style w:type="paragraph" w:styleId="TJ2">
    <w:name w:val="toc 2"/>
    <w:basedOn w:val="Norml"/>
    <w:next w:val="Norml"/>
    <w:autoRedefine/>
    <w:uiPriority w:val="39"/>
    <w:rsid w:val="00A95CA0"/>
    <w:pPr>
      <w:ind w:left="220"/>
    </w:pPr>
  </w:style>
  <w:style w:type="paragraph" w:styleId="TJ3">
    <w:name w:val="toc 3"/>
    <w:basedOn w:val="Norml"/>
    <w:next w:val="Norml"/>
    <w:autoRedefine/>
    <w:uiPriority w:val="39"/>
    <w:rsid w:val="00A95CA0"/>
    <w:pPr>
      <w:ind w:left="440"/>
    </w:pPr>
  </w:style>
  <w:style w:type="paragraph" w:styleId="TJ4">
    <w:name w:val="toc 4"/>
    <w:basedOn w:val="Norml"/>
    <w:next w:val="Norml"/>
    <w:autoRedefine/>
    <w:uiPriority w:val="39"/>
    <w:rsid w:val="00A95CA0"/>
    <w:pPr>
      <w:ind w:left="660"/>
    </w:pPr>
  </w:style>
  <w:style w:type="character" w:styleId="Hiperhivatkozs">
    <w:name w:val="Hyperlink"/>
    <w:uiPriority w:val="99"/>
    <w:rsid w:val="00A95CA0"/>
    <w:rPr>
      <w:color w:val="0000FF"/>
      <w:u w:val="single"/>
    </w:rPr>
  </w:style>
  <w:style w:type="paragraph" w:customStyle="1" w:styleId="StlusKpalrsKzprezrt">
    <w:name w:val="Stílus Képaláírás + Középre zárt"/>
    <w:basedOn w:val="Kpalrs"/>
    <w:rsid w:val="00876C45"/>
    <w:rPr>
      <w:rFonts w:cs="Times New Roman"/>
    </w:rPr>
  </w:style>
  <w:style w:type="paragraph" w:customStyle="1" w:styleId="StlusCmsor4Sorkzszimpla">
    <w:name w:val="Stílus Címsor 4 + Sorköz:  szimpla"/>
    <w:basedOn w:val="Cmsor4"/>
    <w:autoRedefine/>
    <w:rsid w:val="00EE2B46"/>
    <w:pPr>
      <w:ind w:left="862" w:hanging="862"/>
    </w:pPr>
    <w:rPr>
      <w:b/>
      <w:bCs w:val="0"/>
      <w:iCs/>
      <w:szCs w:val="20"/>
    </w:rPr>
  </w:style>
  <w:style w:type="character" w:customStyle="1" w:styleId="llbChar">
    <w:name w:val="Élőláb Char"/>
    <w:link w:val="llb"/>
    <w:uiPriority w:val="99"/>
    <w:rsid w:val="00876C45"/>
    <w:rPr>
      <w:rFonts w:ascii="Arial" w:hAnsi="Arial" w:cs="Arial"/>
      <w:sz w:val="22"/>
      <w:szCs w:val="24"/>
    </w:rPr>
  </w:style>
  <w:style w:type="paragraph" w:customStyle="1" w:styleId="StlusKpalrsUtna3ptSorkzszimpla">
    <w:name w:val="Stílus Képaláírás + Utána:  3 pt Sorköz:  szimpla"/>
    <w:basedOn w:val="Kpalrs"/>
    <w:autoRedefine/>
    <w:rsid w:val="009331A6"/>
    <w:rPr>
      <w:rFonts w:cs="Times New Roman"/>
      <w:sz w:val="24"/>
    </w:rPr>
  </w:style>
  <w:style w:type="paragraph" w:styleId="Tartalomjegyzkcmsora">
    <w:name w:val="TOC Heading"/>
    <w:basedOn w:val="Cmsor1"/>
    <w:next w:val="Norml"/>
    <w:uiPriority w:val="39"/>
    <w:semiHidden/>
    <w:unhideWhenUsed/>
    <w:qFormat/>
    <w:rsid w:val="00B46447"/>
    <w:pPr>
      <w:keepLines/>
      <w:numPr>
        <w:numId w:val="0"/>
      </w:numPr>
      <w:spacing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J5">
    <w:name w:val="toc 5"/>
    <w:basedOn w:val="Norml"/>
    <w:next w:val="Norml"/>
    <w:autoRedefine/>
    <w:uiPriority w:val="39"/>
    <w:rsid w:val="00644BD2"/>
    <w:pPr>
      <w:spacing w:after="100"/>
      <w:ind w:left="960"/>
    </w:pPr>
  </w:style>
  <w:style w:type="character" w:styleId="Helyrzszveg">
    <w:name w:val="Placeholder Text"/>
    <w:basedOn w:val="Bekezdsalapbettpusa"/>
    <w:uiPriority w:val="99"/>
    <w:semiHidden/>
    <w:rsid w:val="00D42B8C"/>
    <w:rPr>
      <w:color w:val="808080"/>
    </w:rPr>
  </w:style>
  <w:style w:type="paragraph" w:styleId="Listaszerbekezds">
    <w:name w:val="List Paragraph"/>
    <w:aliases w:val="List Paragraph à moi,lista_2,Számozott lista 1,Eszeri felsorolás,List Paragraph1,Welt L Char,Welt L,Bullet List,FooterText,numbered,Paragraphe de liste1,Bulletr List Paragraph,列出段落,列出段落1,Listeafsnit1,リスト段落1,List Paragraph"/>
    <w:basedOn w:val="Norml"/>
    <w:link w:val="ListaszerbekezdsChar"/>
    <w:autoRedefine/>
    <w:uiPriority w:val="34"/>
    <w:qFormat/>
    <w:rsid w:val="00850AD1"/>
    <w:pPr>
      <w:numPr>
        <w:numId w:val="8"/>
      </w:numPr>
      <w:spacing w:before="60" w:after="60"/>
      <w:contextualSpacing/>
    </w:pPr>
  </w:style>
  <w:style w:type="paragraph" w:customStyle="1" w:styleId="Idzs">
    <w:name w:val="Idézés"/>
    <w:basedOn w:val="Norml"/>
    <w:autoRedefine/>
    <w:qFormat/>
    <w:rsid w:val="00AD78D0"/>
    <w:pPr>
      <w:ind w:left="567" w:right="565"/>
    </w:pPr>
    <w:rPr>
      <w:i/>
    </w:rPr>
  </w:style>
  <w:style w:type="paragraph" w:styleId="Szvegtrzsbehzssal">
    <w:name w:val="Body Text Indent"/>
    <w:basedOn w:val="Norml"/>
    <w:link w:val="SzvegtrzsbehzssalChar"/>
    <w:uiPriority w:val="99"/>
    <w:rsid w:val="00797E67"/>
    <w:pPr>
      <w:autoSpaceDN w:val="0"/>
      <w:spacing w:after="0"/>
      <w:jc w:val="center"/>
    </w:pPr>
    <w:rPr>
      <w:rFonts w:ascii="Arial" w:hAnsi="Arial" w:cs="Times New Roman"/>
      <w:sz w:val="20"/>
    </w:rPr>
  </w:style>
  <w:style w:type="character" w:customStyle="1" w:styleId="SzvegtrzsbehzssalChar">
    <w:name w:val="Szövegtörzs behúzással Char"/>
    <w:basedOn w:val="Bekezdsalapbettpusa"/>
    <w:link w:val="Szvegtrzsbehzssal"/>
    <w:uiPriority w:val="99"/>
    <w:rsid w:val="00797E67"/>
    <w:rPr>
      <w:rFonts w:ascii="Arial" w:hAnsi="Arial"/>
      <w:szCs w:val="24"/>
    </w:rPr>
  </w:style>
  <w:style w:type="table" w:customStyle="1" w:styleId="Fekvtblzat">
    <w:name w:val="Fekvő táblázat"/>
    <w:basedOn w:val="Normltblzat"/>
    <w:uiPriority w:val="99"/>
    <w:rsid w:val="00F2235A"/>
    <w:pPr>
      <w:spacing w:before="60" w:after="60"/>
      <w:jc w:val="center"/>
    </w:pPr>
    <w:rPr>
      <w:rFonts w:ascii="Garamond" w:hAnsi="Garamond"/>
      <w:sz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Row">
      <w:pPr>
        <w:wordWrap/>
        <w:spacing w:beforeLines="0" w:before="120" w:beforeAutospacing="0" w:afterLines="0" w:after="120" w:afterAutospacing="0" w:line="240" w:lineRule="auto"/>
        <w:jc w:val="center"/>
        <w:outlineLvl w:val="9"/>
      </w:pPr>
      <w:rPr>
        <w:rFonts w:ascii="Garamond" w:hAnsi="Garamond"/>
        <w:b/>
        <w:sz w:val="24"/>
      </w:rPr>
      <w:tblPr/>
      <w:trPr>
        <w:tblHeader/>
      </w:tr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pct10" w:color="auto" w:fill="auto"/>
      </w:tcPr>
    </w:tblStylePr>
  </w:style>
  <w:style w:type="table" w:customStyle="1" w:styleId="lltblzat">
    <w:name w:val="Álló táblázat"/>
    <w:basedOn w:val="Normltblzat"/>
    <w:uiPriority w:val="99"/>
    <w:rsid w:val="00A67C90"/>
    <w:pPr>
      <w:spacing w:before="60" w:after="60"/>
    </w:pPr>
    <w:rPr>
      <w:rFonts w:ascii="Garamond" w:hAnsi="Garamond"/>
      <w:sz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tblStylePr w:type="firstCol">
      <w:pPr>
        <w:wordWrap/>
        <w:spacing w:beforeLines="0" w:before="60" w:beforeAutospacing="0" w:afterLines="0" w:after="60" w:afterAutospacing="0" w:line="240" w:lineRule="auto"/>
        <w:ind w:leftChars="0" w:left="0" w:rightChars="0" w:right="0"/>
        <w:jc w:val="left"/>
        <w:outlineLvl w:val="9"/>
      </w:pPr>
      <w:rPr>
        <w:rFonts w:ascii="Garamond" w:hAnsi="Garamond"/>
        <w:b/>
        <w:sz w:val="24"/>
      </w:rPr>
      <w:tblPr/>
      <w:tcPr>
        <w:tcBorders>
          <w:top w:val="single" w:sz="12" w:space="0" w:color="auto"/>
          <w:left w:val="single" w:sz="12" w:space="0" w:color="auto"/>
          <w:bottom w:val="single" w:sz="12" w:space="0" w:color="auto"/>
          <w:right w:val="single" w:sz="12" w:space="0" w:color="auto"/>
          <w:insideH w:val="nil"/>
          <w:insideV w:val="nil"/>
          <w:tl2br w:val="nil"/>
          <w:tr2bl w:val="nil"/>
        </w:tcBorders>
        <w:shd w:val="pct10" w:color="auto" w:fill="auto"/>
      </w:tcPr>
    </w:tblStylePr>
  </w:style>
  <w:style w:type="numbering" w:customStyle="1" w:styleId="Mellkletekjegyzke">
    <w:name w:val="Mellékletek jegyzéke"/>
    <w:basedOn w:val="Nemlista"/>
    <w:uiPriority w:val="99"/>
    <w:rsid w:val="00203459"/>
    <w:pPr>
      <w:numPr>
        <w:numId w:val="2"/>
      </w:numPr>
    </w:pPr>
  </w:style>
  <w:style w:type="character" w:styleId="Mrltotthiperhivatkozs">
    <w:name w:val="FollowedHyperlink"/>
    <w:basedOn w:val="Bekezdsalapbettpusa"/>
    <w:uiPriority w:val="99"/>
    <w:rsid w:val="009B7C60"/>
    <w:rPr>
      <w:color w:val="800080" w:themeColor="followedHyperlink"/>
      <w:u w:val="single"/>
    </w:rPr>
  </w:style>
  <w:style w:type="paragraph" w:styleId="brajegyzk">
    <w:name w:val="table of figures"/>
    <w:basedOn w:val="Norml"/>
    <w:next w:val="Norml"/>
    <w:uiPriority w:val="99"/>
    <w:rsid w:val="00D143D9"/>
    <w:pPr>
      <w:spacing w:after="0"/>
    </w:pPr>
  </w:style>
  <w:style w:type="character" w:customStyle="1" w:styleId="ListaszerbekezdsChar">
    <w:name w:val="Listaszerű bekezdés Char"/>
    <w:aliases w:val="List Paragraph à moi Char,lista_2 Char,Számozott lista 1 Char,Eszeri felsorolás Char,List Paragraph1 Char,Welt L Char Char,Welt L Char1,Bullet List Char,FooterText Char,numbered Char,Paragraphe de liste1 Char,列出段落 Char"/>
    <w:link w:val="Listaszerbekezds"/>
    <w:uiPriority w:val="34"/>
    <w:rsid w:val="00850AD1"/>
    <w:rPr>
      <w:rFonts w:ascii="Garamond" w:hAnsi="Garamond" w:cs="Arial"/>
      <w:sz w:val="24"/>
      <w:szCs w:val="24"/>
    </w:rPr>
  </w:style>
  <w:style w:type="paragraph" w:customStyle="1" w:styleId="Listaszerbekezds1">
    <w:name w:val="Listaszerű bekezdés1"/>
    <w:basedOn w:val="Norml"/>
    <w:rsid w:val="00065163"/>
    <w:pPr>
      <w:suppressAutoHyphens/>
      <w:spacing w:after="60"/>
      <w:ind w:left="708"/>
      <w:jc w:val="left"/>
    </w:pPr>
    <w:rPr>
      <w:rFonts w:ascii="Times New Roman" w:hAnsi="Times New Roman" w:cs="Times New Roman"/>
    </w:rPr>
  </w:style>
  <w:style w:type="character" w:styleId="Feloldatlanmegemlts">
    <w:name w:val="Unresolved Mention"/>
    <w:basedOn w:val="Bekezdsalapbettpusa"/>
    <w:uiPriority w:val="99"/>
    <w:semiHidden/>
    <w:unhideWhenUsed/>
    <w:rsid w:val="00D92FCC"/>
    <w:rPr>
      <w:color w:val="605E5C"/>
      <w:shd w:val="clear" w:color="auto" w:fill="E1DFDD"/>
    </w:rPr>
  </w:style>
  <w:style w:type="table" w:customStyle="1" w:styleId="Rcsostblzat1">
    <w:name w:val="Rácsos táblázat1"/>
    <w:uiPriority w:val="59"/>
    <w:rsid w:val="006416BE"/>
    <w:rPr>
      <w:rFonts w:ascii="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zvegtrzs">
    <w:name w:val="Body Text"/>
    <w:aliases w:val="Szövegtörzs Char Char Char Char Char Char Char Char Char Char Char Char Char Char,Szövegtörzs Char Char1,Szövegtörzs Char Char Char Char Char Char Char Char Char Char Char Char Char Char Char1,Szövegtörzs Char Char Char Char"/>
    <w:basedOn w:val="Norml"/>
    <w:link w:val="SzvegtrzsChar"/>
    <w:unhideWhenUsed/>
    <w:rsid w:val="000D7D11"/>
  </w:style>
  <w:style w:type="character" w:customStyle="1" w:styleId="SzvegtrzsChar">
    <w:name w:val="Szövegtörzs Char"/>
    <w:aliases w:val="Szövegtörzs Char Char Char Char Char Char Char Char Char Char Char Char Char Char Char,Szövegtörzs Char Char1 Char,Szövegtörzs Char Char Char Char Char Char Char Char Char Char Char Char Char Char Char1 Char"/>
    <w:basedOn w:val="Bekezdsalapbettpusa"/>
    <w:link w:val="Szvegtrzs"/>
    <w:rsid w:val="000D7D11"/>
    <w:rPr>
      <w:rFonts w:ascii="Garamond" w:hAnsi="Garamond" w:cs="Arial"/>
      <w:sz w:val="24"/>
      <w:szCs w:val="24"/>
    </w:rPr>
  </w:style>
  <w:style w:type="character" w:customStyle="1" w:styleId="LbjegyzetszvegChar">
    <w:name w:val="Lábjegyzetszöveg Char"/>
    <w:aliases w:val="Footnote Char1,Footnote Text Char Char,Footnote Char Char,Char1 Char1 Char,Char1 Char Char1 Char,Char1 Char Char Char Char,Lábjegyzetszöveg Char Char Char Char,Lábjegyzetszöveg Char1 Char Char"/>
    <w:link w:val="Lbjegyzetszveg"/>
    <w:uiPriority w:val="99"/>
    <w:rsid w:val="00A95028"/>
    <w:rPr>
      <w:rFonts w:ascii="Garamond" w:hAnsi="Garamond"/>
    </w:rPr>
  </w:style>
  <w:style w:type="paragraph" w:styleId="NormlWeb">
    <w:name w:val="Normal (Web)"/>
    <w:basedOn w:val="Norml"/>
    <w:uiPriority w:val="99"/>
    <w:rsid w:val="001F1607"/>
    <w:pPr>
      <w:spacing w:before="100" w:beforeAutospacing="1" w:after="100" w:afterAutospacing="1"/>
      <w:jc w:val="left"/>
    </w:pPr>
    <w:rPr>
      <w:rFonts w:ascii="Times New Roman" w:hAnsi="Times New Roman" w:cs="Times New Roman"/>
    </w:rPr>
  </w:style>
  <w:style w:type="character" w:customStyle="1" w:styleId="Cmsor1Char">
    <w:name w:val="Címsor 1 Char"/>
    <w:aliases w:val="Numbered - 1 Char,intoduction Char"/>
    <w:basedOn w:val="Bekezdsalapbettpusa"/>
    <w:link w:val="Cmsor1"/>
    <w:uiPriority w:val="99"/>
    <w:rsid w:val="00620D3E"/>
    <w:rPr>
      <w:rFonts w:ascii="Garamond" w:hAnsi="Garamond" w:cs="Arial"/>
      <w:b/>
      <w:bCs/>
      <w:kern w:val="32"/>
      <w:sz w:val="40"/>
      <w:szCs w:val="32"/>
    </w:rPr>
  </w:style>
  <w:style w:type="character" w:customStyle="1" w:styleId="Cmsor2Char">
    <w:name w:val="Címsor 2 Char"/>
    <w:aliases w:val="Numbered - 2 Char,Fejléc 2 Char,Címsor Kísérőlevél II belül felsorolás Char"/>
    <w:basedOn w:val="Bekezdsalapbettpusa"/>
    <w:link w:val="Cmsor2"/>
    <w:uiPriority w:val="99"/>
    <w:rsid w:val="008962EB"/>
    <w:rPr>
      <w:rFonts w:ascii="Garamond" w:hAnsi="Garamond" w:cs="Arial"/>
      <w:b/>
      <w:bCs/>
      <w:iCs/>
      <w:sz w:val="32"/>
      <w:szCs w:val="28"/>
    </w:rPr>
  </w:style>
  <w:style w:type="character" w:customStyle="1" w:styleId="Cmsor3Char">
    <w:name w:val="Címsor 3 Char"/>
    <w:aliases w:val="Numbered - 3 Char"/>
    <w:basedOn w:val="Bekezdsalapbettpusa"/>
    <w:link w:val="Cmsor3"/>
    <w:uiPriority w:val="99"/>
    <w:rsid w:val="00E81567"/>
    <w:rPr>
      <w:rFonts w:ascii="Garamond" w:hAnsi="Garamond" w:cs="Arial"/>
      <w:b/>
      <w:bCs/>
      <w:sz w:val="24"/>
      <w:szCs w:val="26"/>
    </w:rPr>
  </w:style>
  <w:style w:type="character" w:customStyle="1" w:styleId="Cmsor4Char">
    <w:name w:val="Címsor 4 Char"/>
    <w:basedOn w:val="Bekezdsalapbettpusa"/>
    <w:link w:val="Cmsor4"/>
    <w:uiPriority w:val="99"/>
    <w:rsid w:val="008962EB"/>
    <w:rPr>
      <w:rFonts w:ascii="Garamond" w:hAnsi="Garamond"/>
      <w:bCs/>
      <w:i/>
      <w:sz w:val="24"/>
      <w:szCs w:val="28"/>
    </w:rPr>
  </w:style>
  <w:style w:type="character" w:customStyle="1" w:styleId="Cmsor5Char">
    <w:name w:val="Címsor 5 Char"/>
    <w:basedOn w:val="Bekezdsalapbettpusa"/>
    <w:link w:val="Cmsor5"/>
    <w:uiPriority w:val="99"/>
    <w:rsid w:val="008962EB"/>
    <w:rPr>
      <w:rFonts w:ascii="Garamond" w:hAnsi="Garamond" w:cs="Arial"/>
      <w:bCs/>
      <w:i/>
      <w:iCs/>
      <w:sz w:val="24"/>
      <w:szCs w:val="26"/>
    </w:rPr>
  </w:style>
  <w:style w:type="character" w:customStyle="1" w:styleId="Cmsor6Char">
    <w:name w:val="Címsor 6 Char"/>
    <w:basedOn w:val="Bekezdsalapbettpusa"/>
    <w:link w:val="Cmsor6"/>
    <w:uiPriority w:val="99"/>
    <w:rsid w:val="008962EB"/>
    <w:rPr>
      <w:b/>
      <w:bCs/>
      <w:sz w:val="24"/>
      <w:szCs w:val="22"/>
    </w:rPr>
  </w:style>
  <w:style w:type="character" w:customStyle="1" w:styleId="Cmsor7Char">
    <w:name w:val="Címsor 7 Char"/>
    <w:basedOn w:val="Bekezdsalapbettpusa"/>
    <w:link w:val="Cmsor7"/>
    <w:uiPriority w:val="9"/>
    <w:rsid w:val="008962EB"/>
    <w:rPr>
      <w:sz w:val="24"/>
      <w:szCs w:val="24"/>
    </w:rPr>
  </w:style>
  <w:style w:type="character" w:customStyle="1" w:styleId="Cmsor8Char">
    <w:name w:val="Címsor 8 Char"/>
    <w:basedOn w:val="Bekezdsalapbettpusa"/>
    <w:link w:val="Cmsor8"/>
    <w:uiPriority w:val="9"/>
    <w:rsid w:val="008962EB"/>
    <w:rPr>
      <w:i/>
      <w:iCs/>
      <w:sz w:val="24"/>
      <w:szCs w:val="24"/>
    </w:rPr>
  </w:style>
  <w:style w:type="character" w:customStyle="1" w:styleId="Cmsor9Char">
    <w:name w:val="Címsor 9 Char"/>
    <w:basedOn w:val="Bekezdsalapbettpusa"/>
    <w:link w:val="Cmsor9"/>
    <w:uiPriority w:val="9"/>
    <w:rsid w:val="008962EB"/>
    <w:rPr>
      <w:rFonts w:ascii="Garamond" w:hAnsi="Garamond" w:cs="Arial"/>
      <w:sz w:val="24"/>
      <w:szCs w:val="22"/>
    </w:rPr>
  </w:style>
  <w:style w:type="character" w:customStyle="1" w:styleId="lfejChar">
    <w:name w:val="Élőfej Char"/>
    <w:basedOn w:val="Bekezdsalapbettpusa"/>
    <w:link w:val="lfej"/>
    <w:uiPriority w:val="99"/>
    <w:rsid w:val="008962EB"/>
    <w:rPr>
      <w:rFonts w:ascii="Garamond" w:hAnsi="Garamond" w:cs="Arial"/>
      <w:sz w:val="24"/>
      <w:szCs w:val="24"/>
    </w:rPr>
  </w:style>
  <w:style w:type="character" w:customStyle="1" w:styleId="BuborkszvegChar">
    <w:name w:val="Buborékszöveg Char"/>
    <w:basedOn w:val="Bekezdsalapbettpusa"/>
    <w:link w:val="Buborkszveg"/>
    <w:uiPriority w:val="99"/>
    <w:semiHidden/>
    <w:rsid w:val="008962EB"/>
    <w:rPr>
      <w:rFonts w:ascii="Tahoma" w:hAnsi="Tahoma" w:cs="Tahoma"/>
      <w:sz w:val="16"/>
      <w:szCs w:val="16"/>
    </w:rPr>
  </w:style>
  <w:style w:type="paragraph" w:styleId="TJ6">
    <w:name w:val="toc 6"/>
    <w:basedOn w:val="Norml"/>
    <w:next w:val="Norml"/>
    <w:autoRedefine/>
    <w:uiPriority w:val="39"/>
    <w:unhideWhenUsed/>
    <w:rsid w:val="008962EB"/>
    <w:pPr>
      <w:spacing w:after="100" w:line="259" w:lineRule="auto"/>
      <w:ind w:left="1100"/>
      <w:jc w:val="left"/>
    </w:pPr>
    <w:rPr>
      <w:rFonts w:asciiTheme="minorHAnsi" w:eastAsiaTheme="minorEastAsia" w:hAnsiTheme="minorHAnsi" w:cstheme="minorBidi"/>
      <w:sz w:val="22"/>
      <w:szCs w:val="22"/>
    </w:rPr>
  </w:style>
  <w:style w:type="paragraph" w:styleId="TJ7">
    <w:name w:val="toc 7"/>
    <w:basedOn w:val="Norml"/>
    <w:next w:val="Norml"/>
    <w:autoRedefine/>
    <w:uiPriority w:val="39"/>
    <w:unhideWhenUsed/>
    <w:rsid w:val="008962EB"/>
    <w:pPr>
      <w:spacing w:after="100" w:line="259" w:lineRule="auto"/>
      <w:ind w:left="1320"/>
      <w:jc w:val="left"/>
    </w:pPr>
    <w:rPr>
      <w:rFonts w:asciiTheme="minorHAnsi" w:eastAsiaTheme="minorEastAsia" w:hAnsiTheme="minorHAnsi" w:cstheme="minorBidi"/>
      <w:sz w:val="22"/>
      <w:szCs w:val="22"/>
    </w:rPr>
  </w:style>
  <w:style w:type="paragraph" w:styleId="TJ8">
    <w:name w:val="toc 8"/>
    <w:basedOn w:val="Norml"/>
    <w:next w:val="Norml"/>
    <w:autoRedefine/>
    <w:uiPriority w:val="39"/>
    <w:unhideWhenUsed/>
    <w:rsid w:val="008962EB"/>
    <w:pPr>
      <w:spacing w:after="100" w:line="259" w:lineRule="auto"/>
      <w:ind w:left="1540"/>
      <w:jc w:val="left"/>
    </w:pPr>
    <w:rPr>
      <w:rFonts w:asciiTheme="minorHAnsi" w:eastAsiaTheme="minorEastAsia" w:hAnsiTheme="minorHAnsi" w:cstheme="minorBidi"/>
      <w:sz w:val="22"/>
      <w:szCs w:val="22"/>
    </w:rPr>
  </w:style>
  <w:style w:type="paragraph" w:styleId="TJ9">
    <w:name w:val="toc 9"/>
    <w:basedOn w:val="Norml"/>
    <w:next w:val="Norml"/>
    <w:autoRedefine/>
    <w:uiPriority w:val="39"/>
    <w:unhideWhenUsed/>
    <w:rsid w:val="008962EB"/>
    <w:pPr>
      <w:spacing w:after="100" w:line="259" w:lineRule="auto"/>
      <w:ind w:left="1760"/>
      <w:jc w:val="left"/>
    </w:pPr>
    <w:rPr>
      <w:rFonts w:asciiTheme="minorHAnsi" w:eastAsiaTheme="minorEastAsia" w:hAnsiTheme="minorHAnsi" w:cstheme="minorBidi"/>
      <w:sz w:val="22"/>
      <w:szCs w:val="22"/>
    </w:rPr>
  </w:style>
  <w:style w:type="character" w:styleId="Jegyzethivatkozs">
    <w:name w:val="annotation reference"/>
    <w:basedOn w:val="Bekezdsalapbettpusa"/>
    <w:uiPriority w:val="99"/>
    <w:semiHidden/>
    <w:unhideWhenUsed/>
    <w:rsid w:val="008962EB"/>
    <w:rPr>
      <w:sz w:val="16"/>
      <w:szCs w:val="16"/>
    </w:rPr>
  </w:style>
  <w:style w:type="paragraph" w:styleId="Jegyzetszveg">
    <w:name w:val="annotation text"/>
    <w:basedOn w:val="Norml"/>
    <w:link w:val="JegyzetszvegChar"/>
    <w:uiPriority w:val="99"/>
    <w:semiHidden/>
    <w:unhideWhenUsed/>
    <w:rsid w:val="008962EB"/>
    <w:rPr>
      <w:sz w:val="20"/>
      <w:szCs w:val="20"/>
    </w:rPr>
  </w:style>
  <w:style w:type="character" w:customStyle="1" w:styleId="JegyzetszvegChar">
    <w:name w:val="Jegyzetszöveg Char"/>
    <w:basedOn w:val="Bekezdsalapbettpusa"/>
    <w:link w:val="Jegyzetszveg"/>
    <w:uiPriority w:val="99"/>
    <w:semiHidden/>
    <w:rsid w:val="008962EB"/>
    <w:rPr>
      <w:rFonts w:ascii="Garamond" w:hAnsi="Garamond" w:cs="Arial"/>
    </w:rPr>
  </w:style>
  <w:style w:type="paragraph" w:styleId="Megjegyzstrgya">
    <w:name w:val="annotation subject"/>
    <w:basedOn w:val="Jegyzetszveg"/>
    <w:next w:val="Jegyzetszveg"/>
    <w:link w:val="MegjegyzstrgyaChar"/>
    <w:uiPriority w:val="99"/>
    <w:semiHidden/>
    <w:unhideWhenUsed/>
    <w:rsid w:val="008962EB"/>
    <w:rPr>
      <w:b/>
      <w:bCs/>
    </w:rPr>
  </w:style>
  <w:style w:type="character" w:customStyle="1" w:styleId="MegjegyzstrgyaChar">
    <w:name w:val="Megjegyzés tárgya Char"/>
    <w:basedOn w:val="JegyzetszvegChar"/>
    <w:link w:val="Megjegyzstrgya"/>
    <w:uiPriority w:val="99"/>
    <w:semiHidden/>
    <w:rsid w:val="008962EB"/>
    <w:rPr>
      <w:rFonts w:ascii="Garamond" w:hAnsi="Garamond" w:cs="Arial"/>
      <w:b/>
      <w:bCs/>
    </w:rPr>
  </w:style>
  <w:style w:type="paragraph" w:customStyle="1" w:styleId="Default">
    <w:name w:val="Default"/>
    <w:rsid w:val="008962EB"/>
    <w:pPr>
      <w:autoSpaceDE w:val="0"/>
      <w:autoSpaceDN w:val="0"/>
      <w:adjustRightInd w:val="0"/>
    </w:pPr>
    <w:rPr>
      <w:rFonts w:ascii="Calibri" w:eastAsiaTheme="minorHAnsi" w:hAnsi="Calibri" w:cs="Calibri"/>
      <w:color w:val="000000"/>
      <w:sz w:val="24"/>
      <w:szCs w:val="24"/>
      <w:lang w:val="en-GB" w:eastAsia="en-US"/>
    </w:rPr>
  </w:style>
  <w:style w:type="paragraph" w:customStyle="1" w:styleId="WW-Szvegtrzs212">
    <w:name w:val="WW-Szövegtörzs 212"/>
    <w:basedOn w:val="Norml"/>
    <w:rsid w:val="008962EB"/>
    <w:pPr>
      <w:suppressAutoHyphens/>
      <w:autoSpaceDE w:val="0"/>
      <w:spacing w:before="268" w:line="100" w:lineRule="atLeast"/>
    </w:pPr>
    <w:rPr>
      <w:rFonts w:ascii="Times New Roman" w:hAnsi="Times New Roman" w:cs="Times New Roman"/>
      <w:sz w:val="28"/>
      <w:szCs w:val="28"/>
      <w:u w:val="single"/>
    </w:rPr>
  </w:style>
  <w:style w:type="paragraph" w:customStyle="1" w:styleId="cbek">
    <w:name w:val="cbek"/>
    <w:basedOn w:val="Norml"/>
    <w:uiPriority w:val="99"/>
    <w:rsid w:val="008962EB"/>
    <w:pPr>
      <w:tabs>
        <w:tab w:val="left" w:pos="567"/>
        <w:tab w:val="left" w:pos="1134"/>
        <w:tab w:val="left" w:pos="1701"/>
      </w:tabs>
      <w:ind w:left="1701" w:hanging="567"/>
    </w:pPr>
    <w:rPr>
      <w:rFonts w:ascii="Times New Roman" w:hAnsi="Times New Roman" w:cs="Times New Roman"/>
      <w:color w:val="00B050"/>
      <w:szCs w:val="20"/>
    </w:rPr>
  </w:style>
  <w:style w:type="paragraph" w:styleId="Nincstrkz">
    <w:name w:val="No Spacing"/>
    <w:link w:val="NincstrkzChar"/>
    <w:qFormat/>
    <w:rsid w:val="008962EB"/>
    <w:rPr>
      <w:rFonts w:asciiTheme="minorHAnsi" w:eastAsiaTheme="minorEastAsia" w:hAnsiTheme="minorHAnsi" w:cstheme="minorBidi"/>
      <w:sz w:val="22"/>
      <w:szCs w:val="22"/>
      <w:lang w:eastAsia="en-US"/>
    </w:rPr>
  </w:style>
  <w:style w:type="character" w:customStyle="1" w:styleId="NincstrkzChar">
    <w:name w:val="Nincs térköz Char"/>
    <w:basedOn w:val="Bekezdsalapbettpusa"/>
    <w:link w:val="Nincstrkz"/>
    <w:rsid w:val="008962EB"/>
    <w:rPr>
      <w:rFonts w:asciiTheme="minorHAnsi" w:eastAsiaTheme="minorEastAsia" w:hAnsiTheme="minorHAnsi" w:cstheme="minorBidi"/>
      <w:sz w:val="22"/>
      <w:szCs w:val="22"/>
      <w:lang w:eastAsia="en-US"/>
    </w:rPr>
  </w:style>
  <w:style w:type="table" w:customStyle="1" w:styleId="Papp001">
    <w:name w:val="Papp 001"/>
    <w:basedOn w:val="Rcsostblzat"/>
    <w:rsid w:val="008962EB"/>
    <w:tblPr/>
  </w:style>
  <w:style w:type="paragraph" w:customStyle="1" w:styleId="M1">
    <w:name w:val="M1"/>
    <w:basedOn w:val="Norml"/>
    <w:uiPriority w:val="99"/>
    <w:rsid w:val="008962EB"/>
    <w:pPr>
      <w:spacing w:after="0"/>
    </w:pPr>
    <w:rPr>
      <w:rFonts w:ascii="Times New Roman" w:hAnsi="Times New Roman" w:cs="Times New Roman"/>
      <w:smallCaps/>
      <w:sz w:val="28"/>
      <w:szCs w:val="28"/>
    </w:rPr>
  </w:style>
  <w:style w:type="paragraph" w:customStyle="1" w:styleId="P1">
    <w:name w:val="P1"/>
    <w:basedOn w:val="Norml"/>
    <w:uiPriority w:val="99"/>
    <w:rsid w:val="008962EB"/>
    <w:pPr>
      <w:numPr>
        <w:numId w:val="3"/>
      </w:numPr>
      <w:tabs>
        <w:tab w:val="clear" w:pos="360"/>
      </w:tabs>
      <w:spacing w:after="0"/>
      <w:ind w:left="0" w:firstLine="0"/>
    </w:pPr>
    <w:rPr>
      <w:rFonts w:ascii="Times New Roman" w:hAnsi="Times New Roman" w:cs="Times New Roman"/>
      <w:i/>
      <w:sz w:val="28"/>
      <w:szCs w:val="28"/>
    </w:rPr>
  </w:style>
  <w:style w:type="paragraph" w:customStyle="1" w:styleId="P2">
    <w:name w:val="P2"/>
    <w:basedOn w:val="Norml"/>
    <w:uiPriority w:val="99"/>
    <w:rsid w:val="008962EB"/>
    <w:pPr>
      <w:numPr>
        <w:ilvl w:val="1"/>
        <w:numId w:val="3"/>
      </w:numPr>
      <w:tabs>
        <w:tab w:val="clear" w:pos="792"/>
      </w:tabs>
      <w:spacing w:after="0"/>
      <w:ind w:left="0" w:firstLine="0"/>
    </w:pPr>
    <w:rPr>
      <w:rFonts w:ascii="Times New Roman" w:hAnsi="Times New Roman" w:cs="Times New Roman"/>
      <w:i/>
    </w:rPr>
  </w:style>
  <w:style w:type="paragraph" w:customStyle="1" w:styleId="P3">
    <w:name w:val="P3"/>
    <w:basedOn w:val="P2"/>
    <w:uiPriority w:val="99"/>
    <w:rsid w:val="008962EB"/>
    <w:pPr>
      <w:numPr>
        <w:ilvl w:val="2"/>
      </w:numPr>
      <w:tabs>
        <w:tab w:val="clear" w:pos="1440"/>
      </w:tabs>
      <w:ind w:left="0" w:firstLine="0"/>
    </w:pPr>
  </w:style>
  <w:style w:type="paragraph" w:customStyle="1" w:styleId="P4">
    <w:name w:val="P4"/>
    <w:basedOn w:val="P3"/>
    <w:uiPriority w:val="99"/>
    <w:rsid w:val="008962EB"/>
    <w:pPr>
      <w:numPr>
        <w:ilvl w:val="3"/>
      </w:numPr>
      <w:tabs>
        <w:tab w:val="clear" w:pos="1800"/>
      </w:tabs>
      <w:ind w:left="0" w:firstLine="0"/>
    </w:pPr>
    <w:rPr>
      <w:iCs/>
    </w:rPr>
  </w:style>
  <w:style w:type="character" w:styleId="Kiemels2">
    <w:name w:val="Strong"/>
    <w:basedOn w:val="Bekezdsalapbettpusa"/>
    <w:uiPriority w:val="22"/>
    <w:qFormat/>
    <w:rsid w:val="008962EB"/>
    <w:rPr>
      <w:b/>
      <w:bCs/>
    </w:rPr>
  </w:style>
  <w:style w:type="paragraph" w:styleId="Szvegtrzs3">
    <w:name w:val="Body Text 3"/>
    <w:basedOn w:val="Norml"/>
    <w:link w:val="Szvegtrzs3Char"/>
    <w:uiPriority w:val="99"/>
    <w:unhideWhenUsed/>
    <w:rsid w:val="008962EB"/>
    <w:pPr>
      <w:jc w:val="left"/>
    </w:pPr>
    <w:rPr>
      <w:rFonts w:ascii="Times New Roman" w:hAnsi="Times New Roman" w:cs="Times New Roman"/>
      <w:sz w:val="16"/>
      <w:szCs w:val="16"/>
    </w:rPr>
  </w:style>
  <w:style w:type="character" w:customStyle="1" w:styleId="Szvegtrzs3Char">
    <w:name w:val="Szövegtörzs 3 Char"/>
    <w:basedOn w:val="Bekezdsalapbettpusa"/>
    <w:link w:val="Szvegtrzs3"/>
    <w:uiPriority w:val="99"/>
    <w:rsid w:val="008962EB"/>
    <w:rPr>
      <w:sz w:val="16"/>
      <w:szCs w:val="16"/>
    </w:rPr>
  </w:style>
  <w:style w:type="paragraph" w:customStyle="1" w:styleId="Tblzattartalom">
    <w:name w:val="Táblázat tartalom"/>
    <w:basedOn w:val="Szvegtrzs"/>
    <w:rsid w:val="008962EB"/>
    <w:pPr>
      <w:suppressLineNumbers/>
      <w:suppressAutoHyphens/>
      <w:spacing w:after="0"/>
    </w:pPr>
    <w:rPr>
      <w:rFonts w:ascii="Times New Roman" w:hAnsi="Times New Roman" w:cs="Times New Roman" w:hint="eastAsia"/>
      <w:szCs w:val="20"/>
    </w:rPr>
  </w:style>
  <w:style w:type="paragraph" w:styleId="Cm">
    <w:name w:val="Title"/>
    <w:basedOn w:val="Norml"/>
    <w:link w:val="CmChar"/>
    <w:uiPriority w:val="99"/>
    <w:qFormat/>
    <w:rsid w:val="008962EB"/>
    <w:pPr>
      <w:spacing w:after="0"/>
      <w:jc w:val="center"/>
    </w:pPr>
    <w:rPr>
      <w:rFonts w:ascii="Arial" w:hAnsi="Arial" w:cs="Times New Roman"/>
      <w:b/>
      <w:szCs w:val="20"/>
    </w:rPr>
  </w:style>
  <w:style w:type="character" w:customStyle="1" w:styleId="CmChar">
    <w:name w:val="Cím Char"/>
    <w:basedOn w:val="Bekezdsalapbettpusa"/>
    <w:link w:val="Cm"/>
    <w:uiPriority w:val="99"/>
    <w:rsid w:val="008962EB"/>
    <w:rPr>
      <w:rFonts w:ascii="Arial" w:hAnsi="Arial"/>
      <w:b/>
      <w:sz w:val="24"/>
    </w:rPr>
  </w:style>
  <w:style w:type="paragraph" w:customStyle="1" w:styleId="Stlus">
    <w:name w:val="Stílus"/>
    <w:uiPriority w:val="99"/>
    <w:rsid w:val="008962EB"/>
    <w:pPr>
      <w:widowControl w:val="0"/>
      <w:autoSpaceDE w:val="0"/>
      <w:autoSpaceDN w:val="0"/>
      <w:adjustRightInd w:val="0"/>
    </w:pPr>
    <w:rPr>
      <w:sz w:val="24"/>
      <w:szCs w:val="24"/>
    </w:rPr>
  </w:style>
  <w:style w:type="character" w:customStyle="1" w:styleId="DokumentumtrkpChar">
    <w:name w:val="Dokumentumtérkép Char"/>
    <w:basedOn w:val="Bekezdsalapbettpusa"/>
    <w:link w:val="Dokumentumtrkp"/>
    <w:uiPriority w:val="99"/>
    <w:semiHidden/>
    <w:rsid w:val="008962EB"/>
    <w:rPr>
      <w:rFonts w:ascii="Tahoma" w:hAnsi="Tahoma" w:cs="Tahoma"/>
      <w:sz w:val="24"/>
      <w:szCs w:val="24"/>
      <w:shd w:val="clear" w:color="auto" w:fill="000080"/>
    </w:rPr>
  </w:style>
  <w:style w:type="paragraph" w:styleId="Dokumentumtrkp">
    <w:name w:val="Document Map"/>
    <w:basedOn w:val="Norml"/>
    <w:link w:val="DokumentumtrkpChar"/>
    <w:uiPriority w:val="99"/>
    <w:semiHidden/>
    <w:rsid w:val="008962EB"/>
    <w:pPr>
      <w:shd w:val="clear" w:color="auto" w:fill="000080"/>
      <w:spacing w:after="0"/>
      <w:jc w:val="left"/>
    </w:pPr>
    <w:rPr>
      <w:rFonts w:ascii="Tahoma" w:hAnsi="Tahoma" w:cs="Tahoma"/>
    </w:rPr>
  </w:style>
  <w:style w:type="character" w:customStyle="1" w:styleId="DokumentumtrkpChar1">
    <w:name w:val="Dokumentumtérkép Char1"/>
    <w:basedOn w:val="Bekezdsalapbettpusa"/>
    <w:uiPriority w:val="99"/>
    <w:semiHidden/>
    <w:rsid w:val="008962EB"/>
    <w:rPr>
      <w:rFonts w:ascii="Segoe UI" w:hAnsi="Segoe UI" w:cs="Segoe UI"/>
      <w:sz w:val="16"/>
      <w:szCs w:val="16"/>
    </w:rPr>
  </w:style>
  <w:style w:type="character" w:customStyle="1" w:styleId="WW-Bekezdsalap-bettpusa1">
    <w:name w:val="WW-Bekezdés alap-betűtípusa1"/>
    <w:rsid w:val="008962EB"/>
  </w:style>
  <w:style w:type="character" w:customStyle="1" w:styleId="WW-Absatz-Standardschriftart">
    <w:name w:val="WW-Absatz-Standardschriftart"/>
    <w:rsid w:val="008962EB"/>
  </w:style>
  <w:style w:type="character" w:customStyle="1" w:styleId="WW-Absatz-Standardschriftart1">
    <w:name w:val="WW-Absatz-Standardschriftart1"/>
    <w:rsid w:val="008962EB"/>
  </w:style>
  <w:style w:type="character" w:customStyle="1" w:styleId="WW-Absatz-Standardschriftart11">
    <w:name w:val="WW-Absatz-Standardschriftart11"/>
    <w:rsid w:val="008962EB"/>
  </w:style>
  <w:style w:type="character" w:customStyle="1" w:styleId="WW-Absatz-Standardschriftart111">
    <w:name w:val="WW-Absatz-Standardschriftart111"/>
    <w:rsid w:val="008962EB"/>
  </w:style>
  <w:style w:type="character" w:customStyle="1" w:styleId="WW-Absatz-Standardschriftart1111">
    <w:name w:val="WW-Absatz-Standardschriftart1111"/>
    <w:rsid w:val="008962EB"/>
  </w:style>
  <w:style w:type="character" w:customStyle="1" w:styleId="WW-Absatz-Standardschriftart11111">
    <w:name w:val="WW-Absatz-Standardschriftart11111"/>
    <w:rsid w:val="008962EB"/>
  </w:style>
  <w:style w:type="character" w:customStyle="1" w:styleId="WW-Bekezdsalap-bettpusa">
    <w:name w:val="WW-Bekezdés alap-betűtípusa"/>
    <w:rsid w:val="008962EB"/>
  </w:style>
  <w:style w:type="character" w:customStyle="1" w:styleId="WW-Absatz-Standardschriftart111111">
    <w:name w:val="WW-Absatz-Standardschriftart111111"/>
    <w:rsid w:val="008962EB"/>
  </w:style>
  <w:style w:type="character" w:customStyle="1" w:styleId="WW-Absatz-Standardschriftart1111111">
    <w:name w:val="WW-Absatz-Standardschriftart1111111"/>
    <w:rsid w:val="008962EB"/>
  </w:style>
  <w:style w:type="character" w:customStyle="1" w:styleId="WW-Absatz-Standardschriftart11111111">
    <w:name w:val="WW-Absatz-Standardschriftart11111111"/>
    <w:rsid w:val="008962EB"/>
  </w:style>
  <w:style w:type="character" w:customStyle="1" w:styleId="WW-Absatz-Standardschriftart111111111">
    <w:name w:val="WW-Absatz-Standardschriftart111111111"/>
    <w:rsid w:val="008962EB"/>
  </w:style>
  <w:style w:type="character" w:customStyle="1" w:styleId="WW-Absatz-Standardschriftart1111111111">
    <w:name w:val="WW-Absatz-Standardschriftart1111111111"/>
    <w:rsid w:val="008962EB"/>
  </w:style>
  <w:style w:type="character" w:customStyle="1" w:styleId="WW-Absatz-Standardschriftart11111111111">
    <w:name w:val="WW-Absatz-Standardschriftart11111111111"/>
    <w:rsid w:val="008962EB"/>
  </w:style>
  <w:style w:type="character" w:customStyle="1" w:styleId="WW-Absatz-Standardschriftart111111111111">
    <w:name w:val="WW-Absatz-Standardschriftart111111111111"/>
    <w:rsid w:val="008962EB"/>
  </w:style>
  <w:style w:type="character" w:customStyle="1" w:styleId="WW-Absatz-Standardschriftart1111111111111">
    <w:name w:val="WW-Absatz-Standardschriftart1111111111111"/>
    <w:rsid w:val="008962EB"/>
  </w:style>
  <w:style w:type="character" w:customStyle="1" w:styleId="WW-Absatz-Standardschriftart11111111111111">
    <w:name w:val="WW-Absatz-Standardschriftart11111111111111"/>
    <w:rsid w:val="008962EB"/>
  </w:style>
  <w:style w:type="character" w:customStyle="1" w:styleId="WW-Bekezdsalap-bettpusa11">
    <w:name w:val="WW-Bekezdés alap-betűtípusa11"/>
    <w:rsid w:val="008962EB"/>
  </w:style>
  <w:style w:type="character" w:customStyle="1" w:styleId="WW8Num3z0">
    <w:name w:val="WW8Num3z0"/>
    <w:rsid w:val="008962EB"/>
    <w:rPr>
      <w:rFonts w:ascii="Symbol" w:hAnsi="Symbol"/>
    </w:rPr>
  </w:style>
  <w:style w:type="character" w:customStyle="1" w:styleId="WW8Num3z1">
    <w:name w:val="WW8Num3z1"/>
    <w:rsid w:val="008962EB"/>
    <w:rPr>
      <w:rFonts w:ascii="Courier New" w:hAnsi="Courier New"/>
    </w:rPr>
  </w:style>
  <w:style w:type="character" w:customStyle="1" w:styleId="WW8Num3z2">
    <w:name w:val="WW8Num3z2"/>
    <w:rsid w:val="008962EB"/>
    <w:rPr>
      <w:rFonts w:ascii="Wingdings" w:hAnsi="Wingdings"/>
    </w:rPr>
  </w:style>
  <w:style w:type="character" w:customStyle="1" w:styleId="WW8Num6z0">
    <w:name w:val="WW8Num6z0"/>
    <w:rsid w:val="008962EB"/>
    <w:rPr>
      <w:rFonts w:ascii="Symbol" w:hAnsi="Symbol"/>
    </w:rPr>
  </w:style>
  <w:style w:type="character" w:customStyle="1" w:styleId="WW8Num6z1">
    <w:name w:val="WW8Num6z1"/>
    <w:rsid w:val="008962EB"/>
    <w:rPr>
      <w:rFonts w:ascii="Courier New" w:hAnsi="Courier New"/>
    </w:rPr>
  </w:style>
  <w:style w:type="character" w:customStyle="1" w:styleId="WW8Num6z2">
    <w:name w:val="WW8Num6z2"/>
    <w:rsid w:val="008962EB"/>
    <w:rPr>
      <w:rFonts w:ascii="Wingdings" w:hAnsi="Wingdings"/>
    </w:rPr>
  </w:style>
  <w:style w:type="character" w:customStyle="1" w:styleId="WW8Num15z0">
    <w:name w:val="WW8Num15z0"/>
    <w:rsid w:val="008962EB"/>
    <w:rPr>
      <w:rFonts w:ascii="Wingdings" w:hAnsi="Wingdings"/>
    </w:rPr>
  </w:style>
  <w:style w:type="character" w:customStyle="1" w:styleId="WW8Num19z0">
    <w:name w:val="WW8Num19z0"/>
    <w:rsid w:val="008962EB"/>
    <w:rPr>
      <w:rFonts w:ascii="Times New Roman" w:eastAsia="Times New Roman" w:hAnsi="Times New Roman"/>
    </w:rPr>
  </w:style>
  <w:style w:type="character" w:customStyle="1" w:styleId="WW8Num19z1">
    <w:name w:val="WW8Num19z1"/>
    <w:rsid w:val="008962EB"/>
    <w:rPr>
      <w:rFonts w:ascii="Courier New" w:hAnsi="Courier New"/>
    </w:rPr>
  </w:style>
  <w:style w:type="character" w:customStyle="1" w:styleId="WW8Num19z2">
    <w:name w:val="WW8Num19z2"/>
    <w:rsid w:val="008962EB"/>
    <w:rPr>
      <w:rFonts w:ascii="Wingdings" w:hAnsi="Wingdings"/>
    </w:rPr>
  </w:style>
  <w:style w:type="character" w:customStyle="1" w:styleId="WW8Num19z3">
    <w:name w:val="WW8Num19z3"/>
    <w:rsid w:val="008962EB"/>
    <w:rPr>
      <w:rFonts w:ascii="Symbol" w:hAnsi="Symbol"/>
    </w:rPr>
  </w:style>
  <w:style w:type="character" w:customStyle="1" w:styleId="WW8Num21z0">
    <w:name w:val="WW8Num21z0"/>
    <w:rsid w:val="008962EB"/>
    <w:rPr>
      <w:rFonts w:ascii="Symbol" w:hAnsi="Symbol"/>
    </w:rPr>
  </w:style>
  <w:style w:type="character" w:customStyle="1" w:styleId="WW8Num21z1">
    <w:name w:val="WW8Num21z1"/>
    <w:rsid w:val="008962EB"/>
    <w:rPr>
      <w:rFonts w:ascii="Times New Roman" w:eastAsia="Times New Roman" w:hAnsi="Times New Roman"/>
    </w:rPr>
  </w:style>
  <w:style w:type="character" w:customStyle="1" w:styleId="WW8Num21z2">
    <w:name w:val="WW8Num21z2"/>
    <w:rsid w:val="008962EB"/>
    <w:rPr>
      <w:rFonts w:ascii="Wingdings" w:hAnsi="Wingdings"/>
    </w:rPr>
  </w:style>
  <w:style w:type="character" w:customStyle="1" w:styleId="WW8Num21z4">
    <w:name w:val="WW8Num21z4"/>
    <w:rsid w:val="008962EB"/>
    <w:rPr>
      <w:rFonts w:ascii="Courier New" w:hAnsi="Courier New"/>
    </w:rPr>
  </w:style>
  <w:style w:type="character" w:customStyle="1" w:styleId="Felsorolsjelek">
    <w:name w:val="Felsorolásjelek"/>
    <w:rsid w:val="008962EB"/>
    <w:rPr>
      <w:rFonts w:ascii="StarSymbol" w:eastAsia="StarSymbol" w:hAnsi="StarSymbol"/>
      <w:sz w:val="18"/>
    </w:rPr>
  </w:style>
  <w:style w:type="character" w:customStyle="1" w:styleId="WW-Felsorolsjelek">
    <w:name w:val="WW-Felsorolásjelek"/>
    <w:rsid w:val="008962EB"/>
    <w:rPr>
      <w:rFonts w:ascii="StarSymbol" w:eastAsia="StarSymbol" w:hAnsi="StarSymbol"/>
      <w:sz w:val="18"/>
    </w:rPr>
  </w:style>
  <w:style w:type="character" w:customStyle="1" w:styleId="WW-Felsorolsjelek1">
    <w:name w:val="WW-Felsorolásjelek1"/>
    <w:rsid w:val="008962EB"/>
    <w:rPr>
      <w:rFonts w:ascii="StarSymbol" w:eastAsia="StarSymbol" w:hAnsi="StarSymbol"/>
      <w:sz w:val="18"/>
    </w:rPr>
  </w:style>
  <w:style w:type="character" w:customStyle="1" w:styleId="WW-Felsorolsjelek11">
    <w:name w:val="WW-Felsorolásjelek11"/>
    <w:rsid w:val="008962EB"/>
    <w:rPr>
      <w:rFonts w:ascii="StarSymbol" w:eastAsia="StarSymbol" w:hAnsi="StarSymbol"/>
      <w:sz w:val="18"/>
    </w:rPr>
  </w:style>
  <w:style w:type="character" w:customStyle="1" w:styleId="WW-Felsorolsjelek111">
    <w:name w:val="WW-Felsorolásjelek111"/>
    <w:rsid w:val="008962EB"/>
    <w:rPr>
      <w:rFonts w:ascii="StarSymbol" w:eastAsia="StarSymbol" w:hAnsi="StarSymbol"/>
      <w:sz w:val="18"/>
    </w:rPr>
  </w:style>
  <w:style w:type="character" w:customStyle="1" w:styleId="WW-Felsorolsjelek1111">
    <w:name w:val="WW-Felsorolásjelek1111"/>
    <w:rsid w:val="008962EB"/>
    <w:rPr>
      <w:rFonts w:ascii="StarSymbol" w:eastAsia="StarSymbol" w:hAnsi="StarSymbol"/>
      <w:sz w:val="18"/>
    </w:rPr>
  </w:style>
  <w:style w:type="character" w:customStyle="1" w:styleId="WW-Felsorolsjelek11111">
    <w:name w:val="WW-Felsorolásjelek11111"/>
    <w:rsid w:val="008962EB"/>
    <w:rPr>
      <w:rFonts w:ascii="StarSymbol" w:eastAsia="StarSymbol" w:hAnsi="StarSymbol"/>
      <w:sz w:val="18"/>
    </w:rPr>
  </w:style>
  <w:style w:type="character" w:customStyle="1" w:styleId="WW-Felsorolsjelek111111">
    <w:name w:val="WW-Felsorolásjelek111111"/>
    <w:rsid w:val="008962EB"/>
    <w:rPr>
      <w:rFonts w:ascii="StarSymbol" w:eastAsia="StarSymbol" w:hAnsi="StarSymbol"/>
      <w:sz w:val="18"/>
    </w:rPr>
  </w:style>
  <w:style w:type="character" w:customStyle="1" w:styleId="WW-Felsorolsjelek1111111">
    <w:name w:val="WW-Felsorolásjelek1111111"/>
    <w:rsid w:val="008962EB"/>
    <w:rPr>
      <w:rFonts w:ascii="StarSymbol" w:eastAsia="StarSymbol" w:hAnsi="StarSymbol"/>
      <w:sz w:val="18"/>
    </w:rPr>
  </w:style>
  <w:style w:type="character" w:customStyle="1" w:styleId="WW-Felsorolsjelek11111111">
    <w:name w:val="WW-Felsorolásjelek11111111"/>
    <w:rsid w:val="008962EB"/>
    <w:rPr>
      <w:rFonts w:ascii="StarSymbol" w:eastAsia="StarSymbol" w:hAnsi="StarSymbol"/>
      <w:sz w:val="18"/>
    </w:rPr>
  </w:style>
  <w:style w:type="character" w:customStyle="1" w:styleId="WW-Felsorolsjelek111111111">
    <w:name w:val="WW-Felsorolásjelek111111111"/>
    <w:rsid w:val="008962EB"/>
    <w:rPr>
      <w:rFonts w:ascii="StarSymbol" w:eastAsia="StarSymbol" w:hAnsi="StarSymbol"/>
      <w:sz w:val="18"/>
    </w:rPr>
  </w:style>
  <w:style w:type="character" w:customStyle="1" w:styleId="WW-Felsorolsjelek1111111111">
    <w:name w:val="WW-Felsorolásjelek1111111111"/>
    <w:rsid w:val="008962EB"/>
    <w:rPr>
      <w:rFonts w:ascii="StarSymbol" w:eastAsia="StarSymbol" w:hAnsi="StarSymbol"/>
      <w:sz w:val="18"/>
    </w:rPr>
  </w:style>
  <w:style w:type="character" w:customStyle="1" w:styleId="WW-Felsorolsjelek11111111111">
    <w:name w:val="WW-Felsorolásjelek11111111111"/>
    <w:rsid w:val="008962EB"/>
    <w:rPr>
      <w:rFonts w:ascii="StarSymbol" w:eastAsia="StarSymbol" w:hAnsi="StarSymbol"/>
      <w:sz w:val="18"/>
    </w:rPr>
  </w:style>
  <w:style w:type="character" w:customStyle="1" w:styleId="WW-Felsorolsjelek111111111111">
    <w:name w:val="WW-Felsorolásjelek111111111111"/>
    <w:rsid w:val="008962EB"/>
    <w:rPr>
      <w:rFonts w:ascii="StarSymbol" w:eastAsia="StarSymbol" w:hAnsi="StarSymbol"/>
      <w:sz w:val="18"/>
    </w:rPr>
  </w:style>
  <w:style w:type="character" w:customStyle="1" w:styleId="WW-Felsorolsjelek1111111111111">
    <w:name w:val="WW-Felsorolásjelek1111111111111"/>
    <w:rsid w:val="008962EB"/>
    <w:rPr>
      <w:rFonts w:ascii="StarSymbol" w:eastAsia="StarSymbol" w:hAnsi="StarSymbol"/>
      <w:sz w:val="18"/>
    </w:rPr>
  </w:style>
  <w:style w:type="character" w:customStyle="1" w:styleId="WW-Felsorolsjelek11111111111111">
    <w:name w:val="WW-Felsorolásjelek11111111111111"/>
    <w:rsid w:val="008962EB"/>
    <w:rPr>
      <w:rFonts w:ascii="StarSymbol" w:eastAsia="StarSymbol" w:hAnsi="StarSymbol"/>
      <w:sz w:val="18"/>
    </w:rPr>
  </w:style>
  <w:style w:type="character" w:customStyle="1" w:styleId="WW-Felsorolsjelek111111111111111">
    <w:name w:val="WW-Felsorolásjelek111111111111111"/>
    <w:rsid w:val="008962EB"/>
    <w:rPr>
      <w:rFonts w:ascii="StarSymbol" w:eastAsia="StarSymbol" w:hAnsi="StarSymbol"/>
      <w:sz w:val="18"/>
    </w:rPr>
  </w:style>
  <w:style w:type="character" w:customStyle="1" w:styleId="WW-Felsorolsjelek1111111111111111">
    <w:name w:val="WW-Felsorolásjelek1111111111111111"/>
    <w:rsid w:val="008962EB"/>
    <w:rPr>
      <w:rFonts w:ascii="StarSymbol" w:eastAsia="StarSymbol" w:hAnsi="StarSymbol"/>
      <w:sz w:val="18"/>
    </w:rPr>
  </w:style>
  <w:style w:type="character" w:customStyle="1" w:styleId="Szmozsiszimblumok">
    <w:name w:val="Számozási szimbólumok"/>
    <w:rsid w:val="008962EB"/>
  </w:style>
  <w:style w:type="character" w:customStyle="1" w:styleId="WW-Szmozsiszimblumok">
    <w:name w:val="WW-Számozási szimbólumok"/>
    <w:rsid w:val="008962EB"/>
  </w:style>
  <w:style w:type="character" w:customStyle="1" w:styleId="WW-Szmozsiszimblumok1">
    <w:name w:val="WW-Számozási szimbólumok1"/>
    <w:rsid w:val="008962EB"/>
  </w:style>
  <w:style w:type="character" w:customStyle="1" w:styleId="WW-Szmozsiszimblumok11">
    <w:name w:val="WW-Számozási szimbólumok11"/>
    <w:rsid w:val="008962EB"/>
  </w:style>
  <w:style w:type="character" w:customStyle="1" w:styleId="WW-Szmozsiszimblumok111">
    <w:name w:val="WW-Számozási szimbólumok111"/>
    <w:rsid w:val="008962EB"/>
  </w:style>
  <w:style w:type="character" w:customStyle="1" w:styleId="WW-Szmozsiszimblumok1111">
    <w:name w:val="WW-Számozási szimbólumok1111"/>
    <w:rsid w:val="008962EB"/>
  </w:style>
  <w:style w:type="character" w:customStyle="1" w:styleId="WW-Szmozsiszimblumok11111">
    <w:name w:val="WW-Számozási szimbólumok11111"/>
    <w:rsid w:val="008962EB"/>
  </w:style>
  <w:style w:type="character" w:customStyle="1" w:styleId="WW-Szmozsiszimblumok111111">
    <w:name w:val="WW-Számozási szimbólumok111111"/>
    <w:rsid w:val="008962EB"/>
  </w:style>
  <w:style w:type="character" w:customStyle="1" w:styleId="WW-Szmozsiszimblumok1111111">
    <w:name w:val="WW-Számozási szimbólumok1111111"/>
    <w:rsid w:val="008962EB"/>
  </w:style>
  <w:style w:type="character" w:customStyle="1" w:styleId="WW-Szmozsiszimblumok11111111">
    <w:name w:val="WW-Számozási szimbólumok11111111"/>
    <w:rsid w:val="008962EB"/>
  </w:style>
  <w:style w:type="character" w:customStyle="1" w:styleId="WW-Szmozsiszimblumok111111111">
    <w:name w:val="WW-Számozási szimbólumok111111111"/>
    <w:rsid w:val="008962EB"/>
  </w:style>
  <w:style w:type="character" w:customStyle="1" w:styleId="WW-Szmozsiszimblumok1111111111">
    <w:name w:val="WW-Számozási szimbólumok1111111111"/>
    <w:rsid w:val="008962EB"/>
  </w:style>
  <w:style w:type="character" w:customStyle="1" w:styleId="WW-Szmozsiszimblumok11111111111">
    <w:name w:val="WW-Számozási szimbólumok11111111111"/>
    <w:rsid w:val="008962EB"/>
  </w:style>
  <w:style w:type="character" w:customStyle="1" w:styleId="WW-Szmozsiszimblumok111111111111">
    <w:name w:val="WW-Számozási szimbólumok111111111111"/>
    <w:rsid w:val="008962EB"/>
  </w:style>
  <w:style w:type="character" w:customStyle="1" w:styleId="WW-Szmozsiszimblumok1111111111111">
    <w:name w:val="WW-Számozási szimbólumok1111111111111"/>
    <w:rsid w:val="008962EB"/>
  </w:style>
  <w:style w:type="character" w:customStyle="1" w:styleId="WW-Szmozsiszimblumok11111111111111">
    <w:name w:val="WW-Számozási szimbólumok11111111111111"/>
    <w:rsid w:val="008962EB"/>
  </w:style>
  <w:style w:type="character" w:customStyle="1" w:styleId="WW-Szmozsiszimblumok111111111111111">
    <w:name w:val="WW-Számozási szimbólumok111111111111111"/>
    <w:rsid w:val="008962EB"/>
  </w:style>
  <w:style w:type="character" w:customStyle="1" w:styleId="WW-Szmozsiszimblumok1111111111111111">
    <w:name w:val="WW-Számozási szimbólumok1111111111111111"/>
    <w:rsid w:val="008962EB"/>
  </w:style>
  <w:style w:type="character" w:customStyle="1" w:styleId="WW8Num1z0">
    <w:name w:val="WW8Num1z0"/>
    <w:rsid w:val="008962EB"/>
    <w:rPr>
      <w:rFonts w:ascii="Times New Roman" w:eastAsia="Times New Roman" w:hAnsi="Times New Roman"/>
    </w:rPr>
  </w:style>
  <w:style w:type="character" w:customStyle="1" w:styleId="WW8Num1z1">
    <w:name w:val="WW8Num1z1"/>
    <w:rsid w:val="008962EB"/>
    <w:rPr>
      <w:rFonts w:ascii="Courier New" w:hAnsi="Courier New"/>
    </w:rPr>
  </w:style>
  <w:style w:type="character" w:customStyle="1" w:styleId="WW8Num1z2">
    <w:name w:val="WW8Num1z2"/>
    <w:rsid w:val="008962EB"/>
    <w:rPr>
      <w:rFonts w:ascii="Wingdings" w:hAnsi="Wingdings"/>
    </w:rPr>
  </w:style>
  <w:style w:type="character" w:customStyle="1" w:styleId="WW8Num1z3">
    <w:name w:val="WW8Num1z3"/>
    <w:rsid w:val="008962EB"/>
    <w:rPr>
      <w:rFonts w:ascii="Symbol" w:hAnsi="Symbol"/>
    </w:rPr>
  </w:style>
  <w:style w:type="character" w:customStyle="1" w:styleId="WW8Num2z0">
    <w:name w:val="WW8Num2z0"/>
    <w:rsid w:val="008962EB"/>
    <w:rPr>
      <w:rFonts w:ascii="StarSymbol" w:hAnsi="StarSymbol"/>
    </w:rPr>
  </w:style>
  <w:style w:type="character" w:customStyle="1" w:styleId="WW-WW8Num1z0">
    <w:name w:val="WW-WW8Num1z0"/>
    <w:rsid w:val="008962EB"/>
    <w:rPr>
      <w:rFonts w:ascii="StarSymbol" w:hAnsi="StarSymbol"/>
    </w:rPr>
  </w:style>
  <w:style w:type="character" w:customStyle="1" w:styleId="WW-WW8Num2z0">
    <w:name w:val="WW-WW8Num2z0"/>
    <w:rsid w:val="008962EB"/>
    <w:rPr>
      <w:rFonts w:ascii="StarSymbol" w:hAnsi="StarSymbol"/>
    </w:rPr>
  </w:style>
  <w:style w:type="character" w:customStyle="1" w:styleId="WW8Num4z0">
    <w:name w:val="WW8Num4z0"/>
    <w:rsid w:val="008962EB"/>
    <w:rPr>
      <w:rFonts w:ascii="StarSymbol" w:hAnsi="StarSymbol"/>
    </w:rPr>
  </w:style>
  <w:style w:type="character" w:customStyle="1" w:styleId="WW-WW8Num1z01">
    <w:name w:val="WW-WW8Num1z01"/>
    <w:rsid w:val="008962EB"/>
    <w:rPr>
      <w:rFonts w:ascii="StarSymbol" w:hAnsi="StarSymbol"/>
    </w:rPr>
  </w:style>
  <w:style w:type="character" w:customStyle="1" w:styleId="WW-WW8Num2z01">
    <w:name w:val="WW-WW8Num2z01"/>
    <w:rsid w:val="008962EB"/>
    <w:rPr>
      <w:rFonts w:ascii="StarSymbol" w:hAnsi="StarSymbol"/>
    </w:rPr>
  </w:style>
  <w:style w:type="character" w:customStyle="1" w:styleId="WW-WW8Num4z0">
    <w:name w:val="WW-WW8Num4z0"/>
    <w:rsid w:val="008962EB"/>
    <w:rPr>
      <w:rFonts w:ascii="StarSymbol" w:hAnsi="StarSymbol"/>
    </w:rPr>
  </w:style>
  <w:style w:type="character" w:customStyle="1" w:styleId="WW-WW8Num1z02">
    <w:name w:val="WW-WW8Num1z02"/>
    <w:rsid w:val="008962EB"/>
    <w:rPr>
      <w:rFonts w:ascii="StarSymbol" w:hAnsi="StarSymbol"/>
    </w:rPr>
  </w:style>
  <w:style w:type="character" w:customStyle="1" w:styleId="WW-WW8Num2z02">
    <w:name w:val="WW-WW8Num2z02"/>
    <w:rsid w:val="008962EB"/>
    <w:rPr>
      <w:rFonts w:ascii="StarSymbol" w:hAnsi="StarSymbol"/>
    </w:rPr>
  </w:style>
  <w:style w:type="character" w:customStyle="1" w:styleId="WW-WW8Num4z01">
    <w:name w:val="WW-WW8Num4z01"/>
    <w:rsid w:val="008962EB"/>
    <w:rPr>
      <w:rFonts w:ascii="StarSymbol" w:hAnsi="StarSymbol"/>
    </w:rPr>
  </w:style>
  <w:style w:type="character" w:customStyle="1" w:styleId="WW-WW8Num1z03">
    <w:name w:val="WW-WW8Num1z03"/>
    <w:rsid w:val="008962EB"/>
    <w:rPr>
      <w:rFonts w:ascii="StarSymbol" w:hAnsi="StarSymbol"/>
    </w:rPr>
  </w:style>
  <w:style w:type="character" w:customStyle="1" w:styleId="WW-WW8Num2z03">
    <w:name w:val="WW-WW8Num2z03"/>
    <w:rsid w:val="008962EB"/>
    <w:rPr>
      <w:rFonts w:ascii="StarSymbol" w:hAnsi="StarSymbol"/>
    </w:rPr>
  </w:style>
  <w:style w:type="character" w:customStyle="1" w:styleId="WW-WW8Num1z04">
    <w:name w:val="WW-WW8Num1z04"/>
    <w:rsid w:val="008962EB"/>
    <w:rPr>
      <w:rFonts w:ascii="StarSymbol" w:hAnsi="StarSymbol"/>
    </w:rPr>
  </w:style>
  <w:style w:type="character" w:customStyle="1" w:styleId="WW-WW8Num2z04">
    <w:name w:val="WW-WW8Num2z04"/>
    <w:rsid w:val="008962EB"/>
    <w:rPr>
      <w:rFonts w:ascii="StarSymbol" w:hAnsi="StarSymbol"/>
    </w:rPr>
  </w:style>
  <w:style w:type="character" w:customStyle="1" w:styleId="WW-WW8Num2z05">
    <w:name w:val="WW-WW8Num2z05"/>
    <w:rsid w:val="008962EB"/>
    <w:rPr>
      <w:rFonts w:ascii="StarSymbol" w:hAnsi="StarSymbol"/>
    </w:rPr>
  </w:style>
  <w:style w:type="character" w:customStyle="1" w:styleId="WW-WW8Num4z02">
    <w:name w:val="WW-WW8Num4z02"/>
    <w:rsid w:val="008962EB"/>
    <w:rPr>
      <w:rFonts w:ascii="StarSymbol" w:hAnsi="StarSymbol"/>
    </w:rPr>
  </w:style>
  <w:style w:type="character" w:customStyle="1" w:styleId="WW-WW8Num1z05">
    <w:name w:val="WW-WW8Num1z05"/>
    <w:rsid w:val="008962EB"/>
    <w:rPr>
      <w:rFonts w:ascii="StarSymbol" w:hAnsi="StarSymbol"/>
    </w:rPr>
  </w:style>
  <w:style w:type="character" w:customStyle="1" w:styleId="WW-WW8Num3z0">
    <w:name w:val="WW-WW8Num3z0"/>
    <w:rsid w:val="008962EB"/>
    <w:rPr>
      <w:rFonts w:ascii="StarSymbol" w:hAnsi="StarSymbol"/>
    </w:rPr>
  </w:style>
  <w:style w:type="character" w:customStyle="1" w:styleId="WW-WW8Num1z06">
    <w:name w:val="WW-WW8Num1z06"/>
    <w:rsid w:val="008962EB"/>
    <w:rPr>
      <w:rFonts w:ascii="StarSymbol" w:hAnsi="StarSymbol"/>
    </w:rPr>
  </w:style>
  <w:style w:type="character" w:customStyle="1" w:styleId="WW-WW8Num3z01">
    <w:name w:val="WW-WW8Num3z01"/>
    <w:rsid w:val="008962EB"/>
    <w:rPr>
      <w:rFonts w:ascii="StarSymbol" w:hAnsi="StarSymbol"/>
    </w:rPr>
  </w:style>
  <w:style w:type="character" w:customStyle="1" w:styleId="WW-WW8Num1z07">
    <w:name w:val="WW-WW8Num1z07"/>
    <w:rsid w:val="008962EB"/>
    <w:rPr>
      <w:rFonts w:ascii="StarSymbol" w:hAnsi="StarSymbol"/>
    </w:rPr>
  </w:style>
  <w:style w:type="character" w:customStyle="1" w:styleId="WW-WW8Num3z02">
    <w:name w:val="WW-WW8Num3z02"/>
    <w:rsid w:val="008962EB"/>
    <w:rPr>
      <w:rFonts w:ascii="StarSymbol" w:hAnsi="StarSymbol"/>
    </w:rPr>
  </w:style>
  <w:style w:type="character" w:customStyle="1" w:styleId="WW-WW8Num1z08">
    <w:name w:val="WW-WW8Num1z08"/>
    <w:rsid w:val="008962EB"/>
    <w:rPr>
      <w:rFonts w:ascii="StarSymbol" w:hAnsi="StarSymbol"/>
    </w:rPr>
  </w:style>
  <w:style w:type="character" w:customStyle="1" w:styleId="WW-WW8Num3z03">
    <w:name w:val="WW-WW8Num3z03"/>
    <w:rsid w:val="008962EB"/>
    <w:rPr>
      <w:rFonts w:ascii="StarSymbol" w:hAnsi="StarSymbol"/>
    </w:rPr>
  </w:style>
  <w:style w:type="character" w:customStyle="1" w:styleId="WW-WW8Num1z09">
    <w:name w:val="WW-WW8Num1z09"/>
    <w:rsid w:val="008962EB"/>
    <w:rPr>
      <w:rFonts w:ascii="StarSymbol" w:hAnsi="StarSymbol"/>
    </w:rPr>
  </w:style>
  <w:style w:type="character" w:customStyle="1" w:styleId="WW-WW8Num3z04">
    <w:name w:val="WW-WW8Num3z04"/>
    <w:rsid w:val="008962EB"/>
    <w:rPr>
      <w:rFonts w:ascii="StarSymbol" w:hAnsi="StarSymbol"/>
    </w:rPr>
  </w:style>
  <w:style w:type="character" w:customStyle="1" w:styleId="WW-WW8Num1z010">
    <w:name w:val="WW-WW8Num1z010"/>
    <w:rsid w:val="008962EB"/>
    <w:rPr>
      <w:rFonts w:ascii="StarSymbol" w:hAnsi="StarSymbol"/>
    </w:rPr>
  </w:style>
  <w:style w:type="character" w:customStyle="1" w:styleId="WW-WW8Num3z05">
    <w:name w:val="WW-WW8Num3z05"/>
    <w:rsid w:val="008962EB"/>
    <w:rPr>
      <w:rFonts w:ascii="StarSymbol" w:hAnsi="StarSymbol"/>
    </w:rPr>
  </w:style>
  <w:style w:type="character" w:customStyle="1" w:styleId="WW-WW8Num1z011">
    <w:name w:val="WW-WW8Num1z011"/>
    <w:rsid w:val="008962EB"/>
    <w:rPr>
      <w:rFonts w:ascii="StarSymbol" w:hAnsi="StarSymbol"/>
    </w:rPr>
  </w:style>
  <w:style w:type="paragraph" w:styleId="Lista">
    <w:name w:val="List"/>
    <w:basedOn w:val="Szvegtrzs"/>
    <w:uiPriority w:val="99"/>
    <w:rsid w:val="008962EB"/>
    <w:pPr>
      <w:suppressAutoHyphens/>
      <w:spacing w:after="0"/>
    </w:pPr>
    <w:rPr>
      <w:rFonts w:ascii="Times New Roman" w:hAnsi="Times New Roman" w:cs="Times New Roman"/>
      <w:szCs w:val="20"/>
    </w:rPr>
  </w:style>
  <w:style w:type="paragraph" w:customStyle="1" w:styleId="Cmsor">
    <w:name w:val="Címsor"/>
    <w:basedOn w:val="Norml"/>
    <w:next w:val="Szvegtrzs"/>
    <w:uiPriority w:val="99"/>
    <w:rsid w:val="008962EB"/>
    <w:pPr>
      <w:keepNext/>
      <w:suppressAutoHyphens/>
      <w:spacing w:before="240"/>
      <w:jc w:val="left"/>
    </w:pPr>
    <w:rPr>
      <w:rFonts w:ascii="Albany" w:eastAsia="HG Mincho Light J" w:hAnsi="Albany" w:cs="Times New Roman"/>
      <w:sz w:val="28"/>
      <w:szCs w:val="20"/>
    </w:rPr>
  </w:style>
  <w:style w:type="paragraph" w:customStyle="1" w:styleId="Jegyzk">
    <w:name w:val="Jegyzék"/>
    <w:basedOn w:val="Norml"/>
    <w:uiPriority w:val="99"/>
    <w:rsid w:val="008962EB"/>
    <w:pPr>
      <w:suppressLineNumbers/>
      <w:suppressAutoHyphens/>
      <w:spacing w:after="0"/>
      <w:jc w:val="left"/>
    </w:pPr>
    <w:rPr>
      <w:rFonts w:ascii="Times New Roman" w:hAnsi="Times New Roman" w:cs="Times New Roman"/>
      <w:szCs w:val="20"/>
    </w:rPr>
  </w:style>
  <w:style w:type="paragraph" w:styleId="Alcm">
    <w:name w:val="Subtitle"/>
    <w:basedOn w:val="Cmsor"/>
    <w:next w:val="Szvegtrzs"/>
    <w:link w:val="AlcmChar"/>
    <w:qFormat/>
    <w:rsid w:val="008962EB"/>
    <w:pPr>
      <w:jc w:val="center"/>
    </w:pPr>
    <w:rPr>
      <w:i/>
    </w:rPr>
  </w:style>
  <w:style w:type="character" w:customStyle="1" w:styleId="AlcmChar">
    <w:name w:val="Alcím Char"/>
    <w:basedOn w:val="Bekezdsalapbettpusa"/>
    <w:link w:val="Alcm"/>
    <w:rsid w:val="008962EB"/>
    <w:rPr>
      <w:rFonts w:ascii="Albany" w:eastAsia="HG Mincho Light J" w:hAnsi="Albany"/>
      <w:i/>
      <w:sz w:val="28"/>
    </w:rPr>
  </w:style>
  <w:style w:type="paragraph" w:customStyle="1" w:styleId="WW-Szvegtrzs3">
    <w:name w:val="WW-Szövegtörzs 3"/>
    <w:basedOn w:val="Norml"/>
    <w:uiPriority w:val="99"/>
    <w:rsid w:val="008962EB"/>
    <w:pPr>
      <w:suppressAutoHyphens/>
      <w:spacing w:after="0"/>
      <w:jc w:val="center"/>
    </w:pPr>
    <w:rPr>
      <w:rFonts w:ascii="Times New Roman" w:hAnsi="Times New Roman" w:cs="Times New Roman"/>
      <w:sz w:val="28"/>
      <w:szCs w:val="20"/>
    </w:rPr>
  </w:style>
  <w:style w:type="paragraph" w:customStyle="1" w:styleId="WW-NormlWeb">
    <w:name w:val="WW-Normál (Web)"/>
    <w:basedOn w:val="Norml"/>
    <w:uiPriority w:val="99"/>
    <w:rsid w:val="008962EB"/>
    <w:pPr>
      <w:suppressAutoHyphens/>
      <w:spacing w:before="100" w:after="100"/>
      <w:jc w:val="left"/>
    </w:pPr>
    <w:rPr>
      <w:rFonts w:ascii="Arial Unicode MS" w:eastAsia="Arial Unicode MS" w:hAnsi="Arial Unicode MS" w:cs="Times New Roman"/>
      <w:szCs w:val="20"/>
    </w:rPr>
  </w:style>
  <w:style w:type="paragraph" w:customStyle="1" w:styleId="WW-Szvegtrzs2">
    <w:name w:val="WW-Szövegtörzs 2"/>
    <w:basedOn w:val="Norml"/>
    <w:uiPriority w:val="99"/>
    <w:rsid w:val="008962EB"/>
    <w:pPr>
      <w:keepNext/>
      <w:suppressAutoHyphens/>
      <w:spacing w:before="240" w:after="0" w:line="360" w:lineRule="auto"/>
      <w:jc w:val="left"/>
    </w:pPr>
    <w:rPr>
      <w:rFonts w:ascii="Times New Roman" w:hAnsi="Times New Roman" w:cs="Times New Roman"/>
      <w:szCs w:val="20"/>
    </w:rPr>
  </w:style>
  <w:style w:type="paragraph" w:customStyle="1" w:styleId="WW-Kpalrs">
    <w:name w:val="WW-Képaláírás"/>
    <w:basedOn w:val="Norml"/>
    <w:next w:val="Norml"/>
    <w:uiPriority w:val="99"/>
    <w:rsid w:val="008962EB"/>
    <w:pPr>
      <w:keepNext/>
      <w:widowControl w:val="0"/>
      <w:suppressAutoHyphens/>
      <w:spacing w:before="120" w:line="360" w:lineRule="auto"/>
      <w:jc w:val="right"/>
    </w:pPr>
    <w:rPr>
      <w:rFonts w:ascii="Times New Roman" w:hAnsi="Times New Roman" w:cs="Times New Roman"/>
      <w:i/>
      <w:szCs w:val="20"/>
    </w:rPr>
  </w:style>
  <w:style w:type="paragraph" w:customStyle="1" w:styleId="Tblzat">
    <w:name w:val="Táblázat"/>
    <w:basedOn w:val="Norml"/>
    <w:uiPriority w:val="99"/>
    <w:rsid w:val="008962EB"/>
    <w:pPr>
      <w:widowControl w:val="0"/>
      <w:suppressAutoHyphens/>
      <w:spacing w:before="60" w:after="60"/>
      <w:jc w:val="center"/>
    </w:pPr>
    <w:rPr>
      <w:rFonts w:ascii="Times New Roman" w:hAnsi="Times New Roman" w:cs="Times New Roman"/>
      <w:szCs w:val="20"/>
    </w:rPr>
  </w:style>
  <w:style w:type="paragraph" w:customStyle="1" w:styleId="-Oldalszm-">
    <w:name w:val="- Oldalszám -"/>
    <w:uiPriority w:val="99"/>
    <w:rsid w:val="008962EB"/>
    <w:pPr>
      <w:suppressAutoHyphens/>
    </w:pPr>
    <w:rPr>
      <w:sz w:val="24"/>
    </w:rPr>
  </w:style>
  <w:style w:type="paragraph" w:customStyle="1" w:styleId="Tblzatfejlc">
    <w:name w:val="Táblázat fejléc"/>
    <w:basedOn w:val="Tblzattartalom"/>
    <w:rsid w:val="008962EB"/>
    <w:pPr>
      <w:jc w:val="center"/>
    </w:pPr>
    <w:rPr>
      <w:rFonts w:hint="default"/>
      <w:b/>
      <w:i/>
    </w:rPr>
  </w:style>
  <w:style w:type="paragraph" w:customStyle="1" w:styleId="WW-Szvegtrzs31">
    <w:name w:val="WW-Szövegtörzs 31"/>
    <w:basedOn w:val="Norml"/>
    <w:uiPriority w:val="99"/>
    <w:rsid w:val="008962EB"/>
    <w:pPr>
      <w:spacing w:after="0"/>
      <w:jc w:val="left"/>
    </w:pPr>
    <w:rPr>
      <w:rFonts w:ascii="Times New Roman" w:hAnsi="Times New Roman" w:cs="Times New Roman"/>
      <w:sz w:val="28"/>
      <w:szCs w:val="20"/>
    </w:rPr>
  </w:style>
  <w:style w:type="paragraph" w:customStyle="1" w:styleId="WW-Szvegtrzs21">
    <w:name w:val="WW-Szövegtörzs 21"/>
    <w:basedOn w:val="Norml"/>
    <w:uiPriority w:val="99"/>
    <w:rsid w:val="008962EB"/>
    <w:pPr>
      <w:spacing w:after="0"/>
      <w:jc w:val="left"/>
    </w:pPr>
    <w:rPr>
      <w:rFonts w:ascii="Times New Roman" w:hAnsi="Times New Roman" w:cs="Times New Roman"/>
      <w:szCs w:val="20"/>
    </w:rPr>
  </w:style>
  <w:style w:type="paragraph" w:customStyle="1" w:styleId="WW-Szvegtrzs312">
    <w:name w:val="WW-Szövegtörzs 312"/>
    <w:basedOn w:val="Norml"/>
    <w:uiPriority w:val="99"/>
    <w:rsid w:val="008962EB"/>
    <w:pPr>
      <w:spacing w:after="0"/>
    </w:pPr>
    <w:rPr>
      <w:rFonts w:ascii="Times New Roman" w:hAnsi="Times New Roman" w:cs="Times New Roman"/>
      <w:sz w:val="28"/>
      <w:szCs w:val="20"/>
    </w:rPr>
  </w:style>
  <w:style w:type="paragraph" w:customStyle="1" w:styleId="Csakszveg1">
    <w:name w:val="Csak szöveg1"/>
    <w:basedOn w:val="Norml"/>
    <w:uiPriority w:val="99"/>
    <w:rsid w:val="008962EB"/>
    <w:pPr>
      <w:spacing w:after="0"/>
      <w:jc w:val="left"/>
    </w:pPr>
    <w:rPr>
      <w:rFonts w:ascii="Courier New" w:hAnsi="Courier New" w:cs="Times New Roman"/>
      <w:sz w:val="20"/>
      <w:szCs w:val="20"/>
    </w:rPr>
  </w:style>
  <w:style w:type="paragraph" w:styleId="Szvegtrzs2">
    <w:name w:val="Body Text 2"/>
    <w:basedOn w:val="Norml"/>
    <w:link w:val="Szvegtrzs2Char"/>
    <w:uiPriority w:val="99"/>
    <w:rsid w:val="008962EB"/>
    <w:pPr>
      <w:suppressAutoHyphens/>
      <w:spacing w:after="0"/>
    </w:pPr>
    <w:rPr>
      <w:rFonts w:ascii="Times New Roman" w:hAnsi="Times New Roman" w:cs="Times New Roman"/>
      <w:color w:val="FF0000"/>
      <w:sz w:val="28"/>
      <w:szCs w:val="20"/>
    </w:rPr>
  </w:style>
  <w:style w:type="character" w:customStyle="1" w:styleId="Szvegtrzs2Char">
    <w:name w:val="Szövegtörzs 2 Char"/>
    <w:basedOn w:val="Bekezdsalapbettpusa"/>
    <w:link w:val="Szvegtrzs2"/>
    <w:uiPriority w:val="99"/>
    <w:rsid w:val="008962EB"/>
    <w:rPr>
      <w:color w:val="FF0000"/>
      <w:sz w:val="28"/>
    </w:rPr>
  </w:style>
  <w:style w:type="paragraph" w:customStyle="1" w:styleId="WW-NormlWeb1">
    <w:name w:val="WW-Normál (Web)1"/>
    <w:basedOn w:val="Norml"/>
    <w:uiPriority w:val="99"/>
    <w:rsid w:val="008962EB"/>
    <w:pPr>
      <w:spacing w:before="100" w:after="100"/>
      <w:jc w:val="left"/>
    </w:pPr>
    <w:rPr>
      <w:rFonts w:ascii="Arial Unicode MS" w:eastAsia="Arial Unicode MS" w:hAnsi="Arial Unicode MS" w:cs="Times New Roman"/>
      <w:szCs w:val="20"/>
    </w:rPr>
  </w:style>
  <w:style w:type="paragraph" w:styleId="HTML-kntformzott">
    <w:name w:val="HTML Preformatted"/>
    <w:basedOn w:val="Norml"/>
    <w:link w:val="HTML-kntformzottChar"/>
    <w:uiPriority w:val="99"/>
    <w:unhideWhenUsed/>
    <w:rsid w:val="008962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szCs w:val="20"/>
    </w:rPr>
  </w:style>
  <w:style w:type="character" w:customStyle="1" w:styleId="HTML-kntformzottChar">
    <w:name w:val="HTML-ként formázott Char"/>
    <w:basedOn w:val="Bekezdsalapbettpusa"/>
    <w:link w:val="HTML-kntformzott"/>
    <w:uiPriority w:val="99"/>
    <w:rsid w:val="008962EB"/>
    <w:rPr>
      <w:rFonts w:ascii="Courier New" w:hAnsi="Courier New" w:cs="Courier New"/>
    </w:rPr>
  </w:style>
  <w:style w:type="paragraph" w:customStyle="1" w:styleId="Szvegtrzs21">
    <w:name w:val="Szövegtörzs 21"/>
    <w:basedOn w:val="Norml"/>
    <w:uiPriority w:val="99"/>
    <w:rsid w:val="008962EB"/>
    <w:pPr>
      <w:widowControl w:val="0"/>
      <w:overflowPunct w:val="0"/>
      <w:autoSpaceDE w:val="0"/>
      <w:autoSpaceDN w:val="0"/>
      <w:adjustRightInd w:val="0"/>
      <w:spacing w:after="0"/>
      <w:textAlignment w:val="baseline"/>
    </w:pPr>
    <w:rPr>
      <w:rFonts w:ascii="Arial" w:hAnsi="Arial" w:cs="Times New Roman"/>
      <w:b/>
      <w:caps/>
      <w:sz w:val="32"/>
      <w:szCs w:val="20"/>
    </w:rPr>
  </w:style>
  <w:style w:type="character" w:customStyle="1" w:styleId="st">
    <w:name w:val="st"/>
    <w:basedOn w:val="Bekezdsalapbettpusa"/>
    <w:rsid w:val="008962EB"/>
  </w:style>
  <w:style w:type="character" w:customStyle="1" w:styleId="SzvegtrzsChar1">
    <w:name w:val="Szövegtörzs Char1"/>
    <w:basedOn w:val="Bekezdsalapbettpusa"/>
    <w:uiPriority w:val="99"/>
    <w:rsid w:val="008962EB"/>
    <w:rPr>
      <w:rFonts w:ascii="Times New Roman" w:eastAsia="Times New Roman" w:hAnsi="Times New Roman" w:cs="Times New Roman"/>
      <w:sz w:val="24"/>
      <w:szCs w:val="20"/>
      <w:lang w:eastAsia="hu-HU"/>
    </w:rPr>
  </w:style>
  <w:style w:type="table" w:customStyle="1" w:styleId="Papptblzat001">
    <w:name w:val="Papp táblázat001"/>
    <w:basedOn w:val="Normltblzat"/>
    <w:rsid w:val="008962EB"/>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pPr>
        <w:jc w:val="center"/>
      </w:pPr>
      <w:rPr>
        <w:b/>
      </w:rPr>
      <w:tblPr/>
      <w:tcPr>
        <w:tcBorders>
          <w:top w:val="single" w:sz="12" w:space="0" w:color="auto"/>
          <w:left w:val="single" w:sz="12" w:space="0" w:color="auto"/>
          <w:bottom w:val="single" w:sz="12" w:space="0" w:color="auto"/>
          <w:right w:val="single" w:sz="12" w:space="0" w:color="auto"/>
        </w:tcBorders>
        <w:vAlign w:val="center"/>
      </w:tcPr>
    </w:tblStylePr>
    <w:tblStylePr w:type="lastRow">
      <w:rPr>
        <w:b/>
      </w:rPr>
    </w:tblStylePr>
  </w:style>
  <w:style w:type="paragraph" w:customStyle="1" w:styleId="Csakszveg2">
    <w:name w:val="Csak szöveg2"/>
    <w:basedOn w:val="Norml"/>
    <w:uiPriority w:val="99"/>
    <w:rsid w:val="008962EB"/>
    <w:pPr>
      <w:spacing w:after="0"/>
      <w:jc w:val="left"/>
    </w:pPr>
    <w:rPr>
      <w:rFonts w:ascii="Courier New" w:hAnsi="Courier New" w:cs="Times New Roman"/>
      <w:sz w:val="20"/>
      <w:szCs w:val="20"/>
    </w:rPr>
  </w:style>
  <w:style w:type="paragraph" w:customStyle="1" w:styleId="Szvegtrzs22">
    <w:name w:val="Szövegtörzs 22"/>
    <w:basedOn w:val="Norml"/>
    <w:uiPriority w:val="99"/>
    <w:rsid w:val="008962EB"/>
    <w:pPr>
      <w:widowControl w:val="0"/>
      <w:overflowPunct w:val="0"/>
      <w:autoSpaceDE w:val="0"/>
      <w:autoSpaceDN w:val="0"/>
      <w:adjustRightInd w:val="0"/>
      <w:spacing w:after="0"/>
      <w:textAlignment w:val="baseline"/>
    </w:pPr>
    <w:rPr>
      <w:rFonts w:ascii="Arial" w:hAnsi="Arial" w:cs="Times New Roman"/>
      <w:b/>
      <w:caps/>
      <w:sz w:val="32"/>
      <w:szCs w:val="20"/>
    </w:rPr>
  </w:style>
  <w:style w:type="paragraph" w:customStyle="1" w:styleId="np">
    <w:name w:val="np"/>
    <w:basedOn w:val="Norml"/>
    <w:uiPriority w:val="99"/>
    <w:rsid w:val="008962EB"/>
    <w:pPr>
      <w:spacing w:after="0"/>
    </w:pPr>
    <w:rPr>
      <w:rFonts w:ascii="Times New Roman" w:hAnsi="Times New Roman" w:cs="Times New Roman"/>
    </w:rPr>
  </w:style>
  <w:style w:type="paragraph" w:customStyle="1" w:styleId="uj">
    <w:name w:val="uj"/>
    <w:basedOn w:val="Norml"/>
    <w:uiPriority w:val="99"/>
    <w:rsid w:val="008962EB"/>
    <w:pPr>
      <w:pBdr>
        <w:left w:val="single" w:sz="36" w:space="3" w:color="FF0000"/>
      </w:pBdr>
      <w:spacing w:after="0"/>
      <w:ind w:firstLine="180"/>
    </w:pPr>
    <w:rPr>
      <w:rFonts w:ascii="Times New Roman" w:hAnsi="Times New Roman" w:cs="Times New Roman"/>
    </w:rPr>
  </w:style>
  <w:style w:type="paragraph" w:customStyle="1" w:styleId="Stlus3">
    <w:name w:val="Stílus3"/>
    <w:basedOn w:val="Norml"/>
    <w:uiPriority w:val="99"/>
    <w:rsid w:val="008962EB"/>
    <w:pPr>
      <w:spacing w:after="0"/>
      <w:jc w:val="left"/>
    </w:pPr>
    <w:rPr>
      <w:rFonts w:ascii="Times New Roman" w:hAnsi="Times New Roman" w:cs="Times New Roman"/>
      <w:szCs w:val="20"/>
    </w:rPr>
  </w:style>
  <w:style w:type="character" w:styleId="Kiemels">
    <w:name w:val="Emphasis"/>
    <w:basedOn w:val="Bekezdsalapbettpusa"/>
    <w:uiPriority w:val="20"/>
    <w:qFormat/>
    <w:rsid w:val="008962EB"/>
    <w:rPr>
      <w:b/>
      <w:bCs/>
      <w:i w:val="0"/>
      <w:iCs w:val="0"/>
    </w:rPr>
  </w:style>
  <w:style w:type="character" w:styleId="HTML-idzet">
    <w:name w:val="HTML Cite"/>
    <w:basedOn w:val="Bekezdsalapbettpusa"/>
    <w:uiPriority w:val="99"/>
    <w:semiHidden/>
    <w:unhideWhenUsed/>
    <w:rsid w:val="008962EB"/>
    <w:rPr>
      <w:i/>
      <w:iCs/>
    </w:rPr>
  </w:style>
  <w:style w:type="table" w:customStyle="1" w:styleId="TableNormal">
    <w:name w:val="Table Normal"/>
    <w:uiPriority w:val="2"/>
    <w:semiHidden/>
    <w:unhideWhenUsed/>
    <w:qFormat/>
    <w:rsid w:val="008962E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
    <w:uiPriority w:val="1"/>
    <w:qFormat/>
    <w:rsid w:val="008962EB"/>
    <w:pPr>
      <w:widowControl w:val="0"/>
      <w:autoSpaceDE w:val="0"/>
      <w:autoSpaceDN w:val="0"/>
      <w:spacing w:before="8" w:after="0"/>
      <w:jc w:val="left"/>
    </w:pPr>
    <w:rPr>
      <w:rFonts w:ascii="Calibri" w:eastAsia="Calibri" w:hAnsi="Calibri" w:cs="Calibri"/>
      <w:sz w:val="22"/>
      <w:szCs w:val="22"/>
      <w:lang w:val="en-US" w:eastAsia="en-US"/>
    </w:rPr>
  </w:style>
  <w:style w:type="numbering" w:customStyle="1" w:styleId="WW8Num3">
    <w:name w:val="WW8Num3"/>
    <w:basedOn w:val="Nemlista"/>
    <w:rsid w:val="008962EB"/>
    <w:pPr>
      <w:numPr>
        <w:numId w:val="5"/>
      </w:numPr>
    </w:pPr>
  </w:style>
  <w:style w:type="character" w:customStyle="1" w:styleId="Feloldatlanmegemlts1">
    <w:name w:val="Feloldatlan megemlítés1"/>
    <w:basedOn w:val="Bekezdsalapbettpusa"/>
    <w:uiPriority w:val="99"/>
    <w:semiHidden/>
    <w:unhideWhenUsed/>
    <w:rsid w:val="008962EB"/>
    <w:rPr>
      <w:color w:val="605E5C"/>
      <w:shd w:val="clear" w:color="auto" w:fill="E1DFDD"/>
    </w:rPr>
  </w:style>
  <w:style w:type="table" w:customStyle="1" w:styleId="Tblzatrcsos26jellszn1">
    <w:name w:val="Táblázat (rácsos) 2 – 6. jelölőszín1"/>
    <w:basedOn w:val="Normltblzat"/>
    <w:uiPriority w:val="47"/>
    <w:rsid w:val="008962EB"/>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blzatrcsos36jellszn1">
    <w:name w:val="Táblázat (rácsos) 3 – 6. jelölőszín1"/>
    <w:basedOn w:val="Normltblzat"/>
    <w:uiPriority w:val="48"/>
    <w:rsid w:val="008962E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Tblzatrcsos46jellszn1">
    <w:name w:val="Táblázat (rácsos) 4 – 6. jelölőszín1"/>
    <w:basedOn w:val="Normltblzat"/>
    <w:uiPriority w:val="49"/>
    <w:rsid w:val="008962EB"/>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Table">
    <w:name w:val="Table"/>
    <w:basedOn w:val="Norml"/>
    <w:rsid w:val="008962EB"/>
    <w:pPr>
      <w:spacing w:before="60" w:after="60" w:line="220" w:lineRule="atLeast"/>
      <w:jc w:val="left"/>
    </w:pPr>
    <w:rPr>
      <w:rFonts w:ascii="Arial" w:eastAsia="Calibri" w:hAnsi="Arial" w:cs="Times New Roman"/>
      <w:sz w:val="18"/>
      <w:szCs w:val="18"/>
    </w:rPr>
  </w:style>
  <w:style w:type="paragraph" w:customStyle="1" w:styleId="Norml1">
    <w:name w:val="Normál1"/>
    <w:basedOn w:val="Norml"/>
    <w:next w:val="Norml"/>
    <w:uiPriority w:val="99"/>
    <w:rsid w:val="008962EB"/>
    <w:pPr>
      <w:autoSpaceDE w:val="0"/>
      <w:autoSpaceDN w:val="0"/>
      <w:adjustRightInd w:val="0"/>
      <w:spacing w:after="60"/>
    </w:pPr>
    <w:rPr>
      <w:rFonts w:ascii="Times New Roman" w:eastAsia="Calibri" w:hAnsi="Times New Roman" w:cs="Times New Roman"/>
      <w:lang w:eastAsia="en-US"/>
    </w:rPr>
  </w:style>
  <w:style w:type="character" w:customStyle="1" w:styleId="longtext">
    <w:name w:val="long_text"/>
    <w:basedOn w:val="Bekezdsalapbettpusa"/>
    <w:rsid w:val="008962EB"/>
  </w:style>
  <w:style w:type="character" w:customStyle="1" w:styleId="apple-converted-space">
    <w:name w:val="apple-converted-space"/>
    <w:basedOn w:val="Bekezdsalapbettpusa"/>
    <w:rsid w:val="008962EB"/>
  </w:style>
  <w:style w:type="paragraph" w:customStyle="1" w:styleId="Cmsor10">
    <w:name w:val="Címsor1"/>
    <w:basedOn w:val="Norml"/>
    <w:next w:val="Szvegtrzs"/>
    <w:uiPriority w:val="99"/>
    <w:rsid w:val="008962EB"/>
    <w:pPr>
      <w:keepNext/>
      <w:suppressAutoHyphens/>
      <w:spacing w:before="240"/>
    </w:pPr>
    <w:rPr>
      <w:rFonts w:ascii="Albany" w:hAnsi="Albany" w:cs="Albany"/>
      <w:sz w:val="28"/>
      <w:szCs w:val="28"/>
    </w:rPr>
  </w:style>
  <w:style w:type="character" w:customStyle="1" w:styleId="h1grey">
    <w:name w:val="h1grey"/>
    <w:basedOn w:val="Bekezdsalapbettpusa"/>
    <w:uiPriority w:val="99"/>
    <w:rsid w:val="008962EB"/>
  </w:style>
  <w:style w:type="paragraph" w:customStyle="1" w:styleId="StlusCmsor1NemFlkvr">
    <w:name w:val="Stílus Címsor 1 + Nem Félkövér"/>
    <w:basedOn w:val="Cmsor1"/>
    <w:uiPriority w:val="99"/>
    <w:rsid w:val="008962EB"/>
    <w:pPr>
      <w:numPr>
        <w:numId w:val="4"/>
      </w:numPr>
      <w:tabs>
        <w:tab w:val="clear" w:pos="432"/>
        <w:tab w:val="left" w:pos="0"/>
      </w:tabs>
      <w:suppressAutoHyphens/>
      <w:spacing w:before="720"/>
      <w:ind w:left="0" w:firstLine="0"/>
    </w:pPr>
    <w:rPr>
      <w:rFonts w:ascii="Times New Roman félkövér" w:hAnsi="Times New Roman félkövér" w:cs="Times New Roman"/>
      <w:smallCaps/>
      <w:kern w:val="0"/>
      <w:szCs w:val="28"/>
    </w:rPr>
  </w:style>
  <w:style w:type="paragraph" w:customStyle="1" w:styleId="NormlWeb18">
    <w:name w:val="Normál (Web)18"/>
    <w:basedOn w:val="Norml"/>
    <w:uiPriority w:val="99"/>
    <w:rsid w:val="008962EB"/>
    <w:pPr>
      <w:spacing w:before="100" w:beforeAutospacing="1" w:after="60"/>
    </w:pPr>
    <w:rPr>
      <w:rFonts w:ascii="Times New Roman" w:hAnsi="Times New Roman" w:cs="Times New Roman"/>
    </w:rPr>
  </w:style>
  <w:style w:type="paragraph" w:customStyle="1" w:styleId="f100">
    <w:name w:val="f100"/>
    <w:basedOn w:val="Norml"/>
    <w:uiPriority w:val="99"/>
    <w:rsid w:val="008962EB"/>
    <w:pPr>
      <w:spacing w:after="60"/>
    </w:pPr>
    <w:rPr>
      <w:rFonts w:ascii="Times New Roman" w:hAnsi="Times New Roman" w:cs="Times New Roman"/>
    </w:rPr>
  </w:style>
  <w:style w:type="character" w:customStyle="1" w:styleId="f0014">
    <w:name w:val="f0014"/>
    <w:rsid w:val="008962EB"/>
    <w:rPr>
      <w:rFonts w:ascii="Times New Roman" w:hAnsi="Times New Roman" w:cs="Times New Roman"/>
      <w:b/>
      <w:bCs/>
    </w:rPr>
  </w:style>
  <w:style w:type="paragraph" w:customStyle="1" w:styleId="Berencsinormal">
    <w:name w:val="Berencsinormal"/>
    <w:basedOn w:val="Norml"/>
    <w:uiPriority w:val="99"/>
    <w:rsid w:val="008962EB"/>
    <w:pPr>
      <w:autoSpaceDN w:val="0"/>
      <w:spacing w:before="120"/>
    </w:pPr>
    <w:rPr>
      <w:rFonts w:ascii="Tahoma" w:hAnsi="Tahoma" w:cs="Times New Roman"/>
      <w:sz w:val="22"/>
      <w:lang w:eastAsia="zh-CN"/>
    </w:rPr>
  </w:style>
  <w:style w:type="paragraph" w:customStyle="1" w:styleId="StlusCmsor1FlkvrNincsalhzs">
    <w:name w:val="Stílus Címsor 1 + Félkövér Nincs aláhúzás"/>
    <w:basedOn w:val="Cmsor1"/>
    <w:uiPriority w:val="99"/>
    <w:rsid w:val="008962EB"/>
    <w:pPr>
      <w:numPr>
        <w:numId w:val="0"/>
      </w:numPr>
      <w:tabs>
        <w:tab w:val="left" w:pos="0"/>
        <w:tab w:val="num" w:pos="432"/>
      </w:tabs>
      <w:suppressAutoHyphens/>
      <w:spacing w:before="1440" w:after="720"/>
      <w:ind w:left="1134" w:hanging="432"/>
    </w:pPr>
    <w:rPr>
      <w:rFonts w:ascii="Times New Roman félkövér" w:hAnsi="Times New Roman félkövér" w:cs="Times New Roman"/>
      <w:b w:val="0"/>
      <w:smallCaps/>
      <w:kern w:val="0"/>
      <w:sz w:val="32"/>
      <w:szCs w:val="20"/>
    </w:rPr>
  </w:style>
  <w:style w:type="paragraph" w:styleId="Lista2">
    <w:name w:val="List 2"/>
    <w:basedOn w:val="Norml"/>
    <w:uiPriority w:val="99"/>
    <w:unhideWhenUsed/>
    <w:rsid w:val="008962EB"/>
    <w:pPr>
      <w:suppressAutoHyphens/>
      <w:spacing w:after="60"/>
      <w:ind w:left="566" w:hanging="283"/>
      <w:contextualSpacing/>
    </w:pPr>
    <w:rPr>
      <w:rFonts w:ascii="Times New Roman" w:hAnsi="Times New Roman" w:cs="Times New Roman"/>
      <w:szCs w:val="20"/>
    </w:rPr>
  </w:style>
  <w:style w:type="paragraph" w:styleId="Felsorols">
    <w:name w:val="List Bullet"/>
    <w:basedOn w:val="Norml"/>
    <w:uiPriority w:val="99"/>
    <w:unhideWhenUsed/>
    <w:rsid w:val="008962EB"/>
    <w:pPr>
      <w:numPr>
        <w:numId w:val="6"/>
      </w:numPr>
      <w:tabs>
        <w:tab w:val="clear" w:pos="360"/>
      </w:tabs>
      <w:suppressAutoHyphens/>
      <w:spacing w:after="60"/>
      <w:ind w:left="0" w:firstLine="0"/>
      <w:contextualSpacing/>
    </w:pPr>
    <w:rPr>
      <w:rFonts w:ascii="Times New Roman" w:hAnsi="Times New Roman" w:cs="Times New Roman"/>
      <w:szCs w:val="20"/>
    </w:rPr>
  </w:style>
  <w:style w:type="paragraph" w:styleId="Felsorols2">
    <w:name w:val="List Bullet 2"/>
    <w:basedOn w:val="Norml"/>
    <w:uiPriority w:val="99"/>
    <w:unhideWhenUsed/>
    <w:rsid w:val="008962EB"/>
    <w:pPr>
      <w:numPr>
        <w:numId w:val="7"/>
      </w:numPr>
      <w:tabs>
        <w:tab w:val="clear" w:pos="643"/>
      </w:tabs>
      <w:suppressAutoHyphens/>
      <w:spacing w:after="60"/>
      <w:ind w:left="0" w:firstLine="0"/>
      <w:contextualSpacing/>
    </w:pPr>
    <w:rPr>
      <w:rFonts w:ascii="Times New Roman" w:hAnsi="Times New Roman" w:cs="Times New Roman"/>
      <w:szCs w:val="20"/>
    </w:rPr>
  </w:style>
  <w:style w:type="paragraph" w:styleId="Szvegtrzselssora">
    <w:name w:val="Body Text First Indent"/>
    <w:basedOn w:val="Szvegtrzs"/>
    <w:link w:val="SzvegtrzselssoraChar"/>
    <w:uiPriority w:val="99"/>
    <w:unhideWhenUsed/>
    <w:rsid w:val="008962EB"/>
    <w:pPr>
      <w:suppressAutoHyphens/>
      <w:spacing w:after="60"/>
      <w:ind w:firstLine="360"/>
      <w:jc w:val="left"/>
    </w:pPr>
    <w:rPr>
      <w:rFonts w:ascii="Times New Roman" w:hAnsi="Times New Roman" w:cs="Times New Roman"/>
      <w:szCs w:val="20"/>
    </w:rPr>
  </w:style>
  <w:style w:type="character" w:customStyle="1" w:styleId="SzvegtrzselssoraChar">
    <w:name w:val="Szövegtörzs első sora Char"/>
    <w:basedOn w:val="SzvegtrzsChar"/>
    <w:link w:val="Szvegtrzselssora"/>
    <w:uiPriority w:val="99"/>
    <w:rsid w:val="008962EB"/>
    <w:rPr>
      <w:rFonts w:ascii="Garamond" w:hAnsi="Garamond" w:cs="Arial"/>
      <w:sz w:val="24"/>
      <w:szCs w:val="24"/>
    </w:rPr>
  </w:style>
  <w:style w:type="paragraph" w:styleId="Listafolytatsa2">
    <w:name w:val="List Continue 2"/>
    <w:basedOn w:val="Norml"/>
    <w:uiPriority w:val="99"/>
    <w:unhideWhenUsed/>
    <w:rsid w:val="008962EB"/>
    <w:pPr>
      <w:suppressAutoHyphens/>
      <w:ind w:left="566"/>
      <w:contextualSpacing/>
    </w:pPr>
    <w:rPr>
      <w:rFonts w:ascii="Times New Roman" w:hAnsi="Times New Roman" w:cs="Times New Roman"/>
      <w:szCs w:val="20"/>
    </w:rPr>
  </w:style>
  <w:style w:type="paragraph" w:customStyle="1" w:styleId="StlusCmsor3Eltte6ptUtna6ptSorkzszimpla">
    <w:name w:val="Stílus Címsor 3 + Előtte:  6 pt Utána:  6 pt Sorköz:  szimpla"/>
    <w:basedOn w:val="Cmsor3"/>
    <w:uiPriority w:val="99"/>
    <w:rsid w:val="008962EB"/>
    <w:pPr>
      <w:widowControl w:val="0"/>
      <w:numPr>
        <w:numId w:val="4"/>
      </w:numPr>
      <w:tabs>
        <w:tab w:val="clear" w:pos="720"/>
      </w:tabs>
      <w:suppressAutoHyphens/>
      <w:spacing w:before="360" w:after="240"/>
      <w:ind w:left="0" w:firstLine="0"/>
    </w:pPr>
    <w:rPr>
      <w:rFonts w:ascii="Times New Roman" w:hAnsi="Times New Roman" w:cs="Times New Roman"/>
      <w:b w:val="0"/>
      <w:i/>
      <w:szCs w:val="20"/>
    </w:rPr>
  </w:style>
  <w:style w:type="paragraph" w:customStyle="1" w:styleId="Feladcmebortkon1">
    <w:name w:val="Feladó címe borítékon1"/>
    <w:basedOn w:val="Norml"/>
    <w:uiPriority w:val="99"/>
    <w:rsid w:val="008962EB"/>
    <w:pPr>
      <w:suppressAutoHyphens/>
      <w:spacing w:after="60"/>
    </w:pPr>
    <w:rPr>
      <w:rFonts w:ascii="H-Times New Roman" w:hAnsi="H-Times New Roman" w:cs="Times New Roman"/>
      <w:szCs w:val="20"/>
      <w:lang w:val="en-US" w:eastAsia="ar-SA"/>
    </w:rPr>
  </w:style>
  <w:style w:type="paragraph" w:styleId="Szvegtrzsbehzssal2">
    <w:name w:val="Body Text Indent 2"/>
    <w:basedOn w:val="Norml"/>
    <w:link w:val="Szvegtrzsbehzssal2Char"/>
    <w:uiPriority w:val="99"/>
    <w:semiHidden/>
    <w:unhideWhenUsed/>
    <w:rsid w:val="008962EB"/>
    <w:pPr>
      <w:spacing w:line="480" w:lineRule="auto"/>
      <w:ind w:left="283"/>
    </w:pPr>
    <w:rPr>
      <w:rFonts w:asciiTheme="minorHAnsi" w:eastAsiaTheme="minorHAnsi" w:hAnsiTheme="minorHAnsi" w:cstheme="minorBidi"/>
      <w:sz w:val="22"/>
      <w:szCs w:val="22"/>
      <w:lang w:eastAsia="en-US"/>
    </w:rPr>
  </w:style>
  <w:style w:type="character" w:customStyle="1" w:styleId="Szvegtrzsbehzssal2Char">
    <w:name w:val="Szövegtörzs behúzással 2 Char"/>
    <w:basedOn w:val="Bekezdsalapbettpusa"/>
    <w:link w:val="Szvegtrzsbehzssal2"/>
    <w:uiPriority w:val="99"/>
    <w:semiHidden/>
    <w:rsid w:val="008962EB"/>
    <w:rPr>
      <w:rFonts w:asciiTheme="minorHAnsi" w:eastAsiaTheme="minorHAnsi" w:hAnsiTheme="minorHAnsi" w:cstheme="minorBidi"/>
      <w:sz w:val="22"/>
      <w:szCs w:val="22"/>
      <w:lang w:eastAsia="en-US"/>
    </w:rPr>
  </w:style>
  <w:style w:type="paragraph" w:customStyle="1" w:styleId="cim2">
    <w:name w:val="cim2"/>
    <w:basedOn w:val="Cmsor3"/>
    <w:uiPriority w:val="99"/>
    <w:rsid w:val="008962EB"/>
    <w:pPr>
      <w:widowControl w:val="0"/>
      <w:numPr>
        <w:ilvl w:val="0"/>
        <w:numId w:val="0"/>
      </w:numPr>
      <w:autoSpaceDE w:val="0"/>
      <w:autoSpaceDN w:val="0"/>
      <w:spacing w:before="360" w:after="60"/>
      <w:ind w:left="2160" w:hanging="360"/>
      <w:jc w:val="center"/>
      <w:outlineLvl w:val="9"/>
    </w:pPr>
    <w:rPr>
      <w:rFonts w:ascii="Times New Roman" w:hAnsi="Times New Roman" w:cs="Times New Roman"/>
      <w:b w:val="0"/>
      <w:i/>
      <w:szCs w:val="24"/>
      <w:lang w:val="en-US"/>
    </w:rPr>
  </w:style>
  <w:style w:type="paragraph" w:customStyle="1" w:styleId="StlusCmsor313ptNemDlt">
    <w:name w:val="Stílus Címsor 3 + 13 pt Nem Dőlt"/>
    <w:basedOn w:val="Cmsor3"/>
    <w:rsid w:val="008962EB"/>
    <w:pPr>
      <w:numPr>
        <w:ilvl w:val="0"/>
        <w:numId w:val="0"/>
      </w:numPr>
      <w:tabs>
        <w:tab w:val="left" w:pos="1134"/>
        <w:tab w:val="left" w:pos="1701"/>
        <w:tab w:val="left" w:pos="1985"/>
        <w:tab w:val="num" w:pos="2148"/>
      </w:tabs>
      <w:spacing w:after="60"/>
      <w:ind w:left="1932" w:hanging="504"/>
      <w:jc w:val="left"/>
    </w:pPr>
    <w:rPr>
      <w:rFonts w:ascii="Times New Roman" w:hAnsi="Times New Roman"/>
      <w:bCs w:val="0"/>
      <w:sz w:val="26"/>
      <w:szCs w:val="24"/>
    </w:rPr>
  </w:style>
  <w:style w:type="paragraph" w:customStyle="1" w:styleId="Norml11">
    <w:name w:val="Normál11"/>
    <w:basedOn w:val="Norml"/>
    <w:rsid w:val="008962EB"/>
    <w:pPr>
      <w:overflowPunct w:val="0"/>
      <w:autoSpaceDE w:val="0"/>
      <w:autoSpaceDN w:val="0"/>
      <w:adjustRightInd w:val="0"/>
      <w:spacing w:after="0"/>
      <w:textAlignment w:val="baseline"/>
    </w:pPr>
    <w:rPr>
      <w:rFonts w:ascii="Times New Roman" w:hAnsi="Times New Roman" w:cs="Times New Roman"/>
      <w:bCs/>
      <w:szCs w:val="20"/>
    </w:rPr>
  </w:style>
  <w:style w:type="character" w:customStyle="1" w:styleId="Feloldatlanmegemlts2">
    <w:name w:val="Feloldatlan megemlítés2"/>
    <w:basedOn w:val="Bekezdsalapbettpusa"/>
    <w:uiPriority w:val="99"/>
    <w:semiHidden/>
    <w:unhideWhenUsed/>
    <w:rsid w:val="008962EB"/>
    <w:rPr>
      <w:color w:val="605E5C"/>
      <w:shd w:val="clear" w:color="auto" w:fill="E1DFDD"/>
    </w:rPr>
  </w:style>
  <w:style w:type="character" w:customStyle="1" w:styleId="FontStyle136">
    <w:name w:val="Font Style136"/>
    <w:uiPriority w:val="99"/>
    <w:rsid w:val="008962EB"/>
    <w:rPr>
      <w:rFonts w:ascii="Times New Roman" w:hAnsi="Times New Roman" w:cs="Times New Roman"/>
      <w:color w:val="000000"/>
      <w:sz w:val="22"/>
      <w:szCs w:val="22"/>
    </w:rPr>
  </w:style>
  <w:style w:type="paragraph" w:customStyle="1" w:styleId="Style65">
    <w:name w:val="Style65"/>
    <w:basedOn w:val="Norml"/>
    <w:uiPriority w:val="99"/>
    <w:rsid w:val="008962EB"/>
    <w:pPr>
      <w:widowControl w:val="0"/>
      <w:autoSpaceDE w:val="0"/>
      <w:autoSpaceDN w:val="0"/>
      <w:adjustRightInd w:val="0"/>
      <w:spacing w:after="60" w:line="271" w:lineRule="exact"/>
    </w:pPr>
    <w:rPr>
      <w:rFonts w:ascii="Times New Roman" w:hAnsi="Times New Roman" w:cs="Times New Roman"/>
    </w:rPr>
  </w:style>
  <w:style w:type="paragraph" w:customStyle="1" w:styleId="Nincstrkz1">
    <w:name w:val="Nincs térköz1"/>
    <w:rsid w:val="008962EB"/>
    <w:rPr>
      <w:sz w:val="24"/>
    </w:rPr>
  </w:style>
  <w:style w:type="character" w:customStyle="1" w:styleId="math-inline">
    <w:name w:val="math-inline"/>
    <w:basedOn w:val="Bekezdsalapbettpusa"/>
    <w:rsid w:val="00F703CB"/>
  </w:style>
  <w:style w:type="character" w:customStyle="1" w:styleId="citation-776">
    <w:name w:val="citation-776"/>
    <w:basedOn w:val="Bekezdsalapbettpusa"/>
    <w:rsid w:val="002D43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893777">
      <w:bodyDiv w:val="1"/>
      <w:marLeft w:val="0"/>
      <w:marRight w:val="0"/>
      <w:marTop w:val="0"/>
      <w:marBottom w:val="0"/>
      <w:divBdr>
        <w:top w:val="none" w:sz="0" w:space="0" w:color="auto"/>
        <w:left w:val="none" w:sz="0" w:space="0" w:color="auto"/>
        <w:bottom w:val="none" w:sz="0" w:space="0" w:color="auto"/>
        <w:right w:val="none" w:sz="0" w:space="0" w:color="auto"/>
      </w:divBdr>
    </w:div>
    <w:div w:id="1658653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g"/><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jp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Lt06\Desktop\minta%20-%20&#233;p&#237;t&#233;si%20enged&#233;ly%20kv%20tervdokument&#225;ci&#243;%20v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AE95B52718E49749B2270FA785D8BA2"/>
        <w:category>
          <w:name w:val="Általános"/>
          <w:gallery w:val="placeholder"/>
        </w:category>
        <w:types>
          <w:type w:val="bbPlcHdr"/>
        </w:types>
        <w:behaviors>
          <w:behavior w:val="content"/>
        </w:behaviors>
        <w:guid w:val="{FE38F6A3-47FA-4407-9324-278DC90A830C}"/>
      </w:docPartPr>
      <w:docPartBody>
        <w:p w:rsidR="00766ED5" w:rsidRDefault="00766ED5">
          <w:pPr>
            <w:pStyle w:val="7AE95B52718E49749B2270FA785D8BA2"/>
          </w:pPr>
          <w:r w:rsidRPr="008F4C98">
            <w:rPr>
              <w:rStyle w:val="Helyrzszveg"/>
            </w:rPr>
            <w:t>Szöveg beírásához kattintson ide.</w:t>
          </w:r>
        </w:p>
      </w:docPartBody>
    </w:docPart>
    <w:docPart>
      <w:docPartPr>
        <w:name w:val="A51A49A6400B4E6E82F6B2A8ABD9FF2C"/>
        <w:category>
          <w:name w:val="Általános"/>
          <w:gallery w:val="placeholder"/>
        </w:category>
        <w:types>
          <w:type w:val="bbPlcHdr"/>
        </w:types>
        <w:behaviors>
          <w:behavior w:val="content"/>
        </w:behaviors>
        <w:guid w:val="{C563B1AB-57D5-47FA-876D-703B718C5BA1}"/>
      </w:docPartPr>
      <w:docPartBody>
        <w:p w:rsidR="00766ED5" w:rsidRDefault="00766ED5">
          <w:pPr>
            <w:pStyle w:val="A51A49A6400B4E6E82F6B2A8ABD9FF2C"/>
          </w:pPr>
          <w:r w:rsidRPr="008F4C98">
            <w:rPr>
              <w:rStyle w:val="Helyrzszveg"/>
            </w:rPr>
            <w:t>Szöveg beírásához kattintson ide.</w:t>
          </w:r>
        </w:p>
      </w:docPartBody>
    </w:docPart>
    <w:docPart>
      <w:docPartPr>
        <w:name w:val="6CBE05A9D3834AEA93075365968457ED"/>
        <w:category>
          <w:name w:val="Általános"/>
          <w:gallery w:val="placeholder"/>
        </w:category>
        <w:types>
          <w:type w:val="bbPlcHdr"/>
        </w:types>
        <w:behaviors>
          <w:behavior w:val="content"/>
        </w:behaviors>
        <w:guid w:val="{314699A5-B41B-4155-B28C-36B00F993F41}"/>
      </w:docPartPr>
      <w:docPartBody>
        <w:p w:rsidR="00766ED5" w:rsidRDefault="00766ED5">
          <w:pPr>
            <w:pStyle w:val="6CBE05A9D3834AEA93075365968457ED"/>
          </w:pPr>
          <w:r w:rsidRPr="008F4C98">
            <w:rPr>
              <w:rStyle w:val="Helyrzszveg"/>
            </w:rPr>
            <w:t>Szöveg beírásához kattintson ide.</w:t>
          </w:r>
        </w:p>
      </w:docPartBody>
    </w:docPart>
    <w:docPart>
      <w:docPartPr>
        <w:name w:val="48B7B219E7FE45929428FF60E12F2CF5"/>
        <w:category>
          <w:name w:val="Általános"/>
          <w:gallery w:val="placeholder"/>
        </w:category>
        <w:types>
          <w:type w:val="bbPlcHdr"/>
        </w:types>
        <w:behaviors>
          <w:behavior w:val="content"/>
        </w:behaviors>
        <w:guid w:val="{C51EA09B-673D-4C1F-9278-017DC512C110}"/>
      </w:docPartPr>
      <w:docPartBody>
        <w:p w:rsidR="00766ED5" w:rsidRDefault="00766ED5">
          <w:pPr>
            <w:pStyle w:val="48B7B219E7FE45929428FF60E12F2CF5"/>
          </w:pPr>
          <w:r w:rsidRPr="008F4C98">
            <w:rPr>
              <w:rStyle w:val="Helyrzszveg"/>
            </w:rPr>
            <w:t>Szöveg beírásához kattintson ide.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OpenSymbol, 'Arial Unicode M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tarSymbol">
    <w:altName w:val="MS Mincho"/>
    <w:charset w:val="02"/>
    <w:family w:val="auto"/>
    <w:pitch w:val="default"/>
  </w:font>
  <w:font w:name="Albany">
    <w:altName w:val="Arial"/>
    <w:charset w:val="00"/>
    <w:family w:val="swiss"/>
    <w:pitch w:val="variable"/>
  </w:font>
  <w:font w:name="HG Mincho Light J">
    <w:altName w:val="Times New Roman"/>
    <w:charset w:val="00"/>
    <w:family w:val="auto"/>
    <w:pitch w:val="variable"/>
  </w:font>
  <w:font w:name="Arial Unicode MS">
    <w:panose1 w:val="020B0604020202020204"/>
    <w:charset w:val="80"/>
    <w:family w:val="swiss"/>
    <w:pitch w:val="variable"/>
    <w:sig w:usb0="F7FFAEFF" w:usb1="F9DFFFFF" w:usb2="0000007F" w:usb3="00000000" w:csb0="003F01FF" w:csb1="00000000"/>
  </w:font>
  <w:font w:name="Times New Roman félkövér">
    <w:panose1 w:val="02020803070505020304"/>
    <w:charset w:val="00"/>
    <w:family w:val="roman"/>
    <w:notTrueType/>
    <w:pitch w:val="default"/>
    <w:sig w:usb0="00000003" w:usb1="00000000" w:usb2="00000000" w:usb3="00000000" w:csb0="00000001" w:csb1="00000000"/>
  </w:font>
  <w:font w:name="H-Times New Roman">
    <w:altName w:val="Times New Roman"/>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haroni">
    <w:charset w:val="B1"/>
    <w:family w:val="auto"/>
    <w:pitch w:val="variable"/>
    <w:sig w:usb0="00000803" w:usb1="00000000" w:usb2="00000000" w:usb3="00000000" w:csb0="00000021"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66ED5"/>
    <w:rsid w:val="00004F38"/>
    <w:rsid w:val="000B3C03"/>
    <w:rsid w:val="001A5A8B"/>
    <w:rsid w:val="001B3A16"/>
    <w:rsid w:val="00223EB9"/>
    <w:rsid w:val="00235CCA"/>
    <w:rsid w:val="00257DD4"/>
    <w:rsid w:val="00303B9B"/>
    <w:rsid w:val="00333AE7"/>
    <w:rsid w:val="003850E6"/>
    <w:rsid w:val="003A1FE3"/>
    <w:rsid w:val="003B7420"/>
    <w:rsid w:val="00424197"/>
    <w:rsid w:val="0044438C"/>
    <w:rsid w:val="00466C52"/>
    <w:rsid w:val="005365C6"/>
    <w:rsid w:val="005C7F7B"/>
    <w:rsid w:val="006112FE"/>
    <w:rsid w:val="0065516F"/>
    <w:rsid w:val="006675BE"/>
    <w:rsid w:val="00672551"/>
    <w:rsid w:val="0067525C"/>
    <w:rsid w:val="00721B3E"/>
    <w:rsid w:val="007242E6"/>
    <w:rsid w:val="00762327"/>
    <w:rsid w:val="00765A38"/>
    <w:rsid w:val="00766ED5"/>
    <w:rsid w:val="00794A80"/>
    <w:rsid w:val="007B0D86"/>
    <w:rsid w:val="007C2F9A"/>
    <w:rsid w:val="007E013B"/>
    <w:rsid w:val="008556C4"/>
    <w:rsid w:val="008679CA"/>
    <w:rsid w:val="008B4971"/>
    <w:rsid w:val="00982896"/>
    <w:rsid w:val="00995846"/>
    <w:rsid w:val="009B04A9"/>
    <w:rsid w:val="009C769E"/>
    <w:rsid w:val="009D390E"/>
    <w:rsid w:val="00A0395F"/>
    <w:rsid w:val="00A54C3D"/>
    <w:rsid w:val="00A76210"/>
    <w:rsid w:val="00AC5E69"/>
    <w:rsid w:val="00B317D9"/>
    <w:rsid w:val="00B32400"/>
    <w:rsid w:val="00BA097F"/>
    <w:rsid w:val="00CF5FA5"/>
    <w:rsid w:val="00CF621F"/>
    <w:rsid w:val="00D47C37"/>
    <w:rsid w:val="00D47DD8"/>
    <w:rsid w:val="00DB059C"/>
    <w:rsid w:val="00E141AF"/>
    <w:rsid w:val="00F21408"/>
    <w:rsid w:val="00F2549F"/>
    <w:rsid w:val="00FC01F8"/>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hu-HU" w:eastAsia="hu-H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elyrzszveg">
    <w:name w:val="Placeholder Text"/>
    <w:basedOn w:val="Bekezdsalapbettpusa"/>
    <w:uiPriority w:val="99"/>
    <w:semiHidden/>
    <w:rsid w:val="006112FE"/>
    <w:rPr>
      <w:color w:val="808080"/>
    </w:rPr>
  </w:style>
  <w:style w:type="paragraph" w:customStyle="1" w:styleId="7AE95B52718E49749B2270FA785D8BA2">
    <w:name w:val="7AE95B52718E49749B2270FA785D8BA2"/>
  </w:style>
  <w:style w:type="paragraph" w:customStyle="1" w:styleId="A51A49A6400B4E6E82F6B2A8ABD9FF2C">
    <w:name w:val="A51A49A6400B4E6E82F6B2A8ABD9FF2C"/>
  </w:style>
  <w:style w:type="paragraph" w:customStyle="1" w:styleId="6CBE05A9D3834AEA93075365968457ED">
    <w:name w:val="6CBE05A9D3834AEA93075365968457ED"/>
  </w:style>
  <w:style w:type="paragraph" w:customStyle="1" w:styleId="48B7B219E7FE45929428FF60E12F2CF5">
    <w:name w:val="48B7B219E7FE45929428FF60E12F2CF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AFA23-F4C1-4D9A-9C3F-8EC765B5A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minta - építési engedély kv tervdokumentáció v01</Template>
  <TotalTime>527</TotalTime>
  <Pages>1</Pages>
  <Words>4396</Words>
  <Characters>30339</Characters>
  <Application>Microsoft Office Word</Application>
  <DocSecurity>0</DocSecurity>
  <Lines>252</Lines>
  <Paragraphs>69</Paragraphs>
  <ScaleCrop>false</ScaleCrop>
  <HeadingPairs>
    <vt:vector size="2" baseType="variant">
      <vt:variant>
        <vt:lpstr>Cím</vt:lpstr>
      </vt:variant>
      <vt:variant>
        <vt:i4>1</vt:i4>
      </vt:variant>
    </vt:vector>
  </HeadingPairs>
  <TitlesOfParts>
    <vt:vector size="1" baseType="lpstr">
      <vt:lpstr>S4A-20260522-03 _ DR. FÜLÖP MÉNES Kft. _ BAT</vt:lpstr>
    </vt:vector>
  </TitlesOfParts>
  <Company/>
  <LinksUpToDate>false</LinksUpToDate>
  <CharactersWithSpaces>34666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S4A-20260522-05 _ DR. FÜLÖP MÉNES Kft. _ Bűz</dc:title>
  <dc:creator>Fodor István;S4A</dc:creator>
  <cp:keywords>Levegőtisztaság-védelem;Hatásterület lehatárolás</cp:keywords>
  <cp:lastModifiedBy>István Fodor</cp:lastModifiedBy>
  <cp:revision>30</cp:revision>
  <cp:lastPrinted>2026-05-31T21:03:00Z</cp:lastPrinted>
  <dcterms:created xsi:type="dcterms:W3CDTF">2026-05-24T21:24:00Z</dcterms:created>
  <dcterms:modified xsi:type="dcterms:W3CDTF">2026-05-31T21:04:00Z</dcterms:modified>
</cp:coreProperties>
</file>